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запроса цен по результатам предварительного отбора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0" w:leader="none"/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rPr>
          <w:bCs/>
          <w:iCs/>
          <w:lang w:eastAsia="ar-SA"/>
        </w:rPr>
        <w:t xml:space="preserve">Акционерное общество «Россети Сибирь Тываэнерго» (далее - АО «Россети Сибирь Тываэнерго</w:t>
      </w:r>
      <w:r>
        <w:rPr>
          <w:bCs/>
          <w:iCs/>
          <w:lang w:eastAsia="ar-SA"/>
        </w:rPr>
        <w:t xml:space="preserve">», Заказчик)</w:t>
      </w:r>
      <w:r>
        <w:t xml:space="preserve">, являющееся также Организатором закупки, настоящим приглашает к участию в запросе цен по результатам предварительного отбора на </w:t>
      </w:r>
      <w:r>
        <w:rPr>
          <w:spacing w:val="-2"/>
        </w:rPr>
        <w:t xml:space="preserve">право заключения договора </w:t>
      </w:r>
      <w:r>
        <w:rPr>
          <w:bCs/>
          <w:spacing w:val="-2"/>
        </w:rPr>
        <w:t xml:space="preserve">на </w:t>
      </w:r>
      <w:r>
        <w:rPr>
          <w:bCs/>
          <w:spacing w:val="-2"/>
        </w:rPr>
        <w:t xml:space="preserve">в</w:t>
      </w:r>
      <w:r>
        <w:rPr>
          <w:bCs/>
          <w:spacing w:val="-2"/>
        </w:rPr>
        <w:t xml:space="preserve">ыполнение </w:t>
      </w:r>
      <w:r>
        <w:rPr>
          <w:bCs/>
          <w:spacing w:val="-2"/>
        </w:rPr>
        <w:t xml:space="preserve">комплекса работ (ПИР и СМР)</w:t>
      </w:r>
      <w:r>
        <w:rPr>
          <w:bCs/>
          <w:spacing w:val="-2"/>
        </w:rPr>
        <w:t xml:space="preserve"> по объектам технологического присоединения. Лот № </w:t>
      </w:r>
      <w:r>
        <w:rPr>
          <w:bCs/>
          <w:spacing w:val="-2"/>
        </w:rPr>
        <w:t xml:space="preserve">79</w:t>
      </w:r>
      <w:r>
        <w:rPr>
          <w:bCs/>
          <w:spacing w:val="-2"/>
        </w:rPr>
        <w:t xml:space="preserve">, для нужд АО «Россети Сибирь Тываэнерго», </w:t>
      </w:r>
      <w:r>
        <w:rPr>
          <w:spacing w:val="-2"/>
        </w:rPr>
        <w:t xml:space="preserve"> </w:t>
      </w:r>
      <w:r>
        <w:rPr>
          <w:spacing w:val="-2"/>
        </w:rPr>
        <w:t xml:space="preserve">№ </w:t>
      </w:r>
      <w:r>
        <w:rPr>
          <w:spacing w:val="-2"/>
        </w:rPr>
        <w:t xml:space="preserve">25.2-11/1.1-0013</w:t>
      </w:r>
      <w:r>
        <w:rPr>
          <w:spacing w:val="-2"/>
        </w:rPr>
        <w:t xml:space="preserve"> </w:t>
      </w:r>
      <w:r>
        <w:rPr>
          <w:spacing w:val="-2"/>
        </w:rPr>
        <w:t xml:space="preserve">(далее – запрос цен, закупка)</w:t>
      </w:r>
      <w:r>
        <w:t xml:space="preserve">.</w:t>
      </w:r>
      <w:r>
        <w:t xml:space="preserve"> </w:t>
      </w:r>
      <w:r/>
    </w:p>
    <w:p>
      <w:pPr>
        <w:pStyle w:val="896"/>
        <w:numPr>
          <w:ilvl w:val="0"/>
          <w:numId w:val="3"/>
        </w:numPr>
        <w:ind w:left="0" w:firstLine="0"/>
        <w:spacing w:after="12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  <w:bCs/>
        </w:rPr>
        <w:t xml:space="preserve">Способ осуществления закупки</w:t>
      </w:r>
      <w:r/>
    </w:p>
    <w:p>
      <w:pPr>
        <w:jc w:val="both"/>
        <w:spacing w:after="120"/>
        <w:tabs>
          <w:tab w:val="left" w:pos="0" w:leader="none"/>
        </w:tabs>
      </w:pPr>
      <w:r>
        <w:rPr>
          <w:bCs/>
        </w:rPr>
        <w:t xml:space="preserve">Запрос цен по результатам предварительного отбора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Наименование Заказчика: Акционерное общество «Россети СибирьТываэнерго» (АО «Россети Сибирь Тываэнерго»).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Место нахождения и почтовый адрес Заказчика: 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667001, г. Кызыл, ул. Рабочая 4.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E-mail:  info@tv.rosseti-sib.ru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Тел.:  8 (394-22) 9-85-00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/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Контактные лица Заказчика: 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Главный специалист сектора закупок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Кузнецова Надежда Алексеевна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E-mail: KuznetsovaNA@tv.rosseti-sib.ru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Тел.: (39422) 9-85-44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/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Специалист 2 категории сектора закупок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Золотухина Вера Александровна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t xml:space="preserve">E-mail: ZolotuhinaVA@tv.rosseti-sib.ru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rPr>
          <w:highlight w:val="none"/>
        </w:rPr>
        <w:suppressLineNumbers w:val="0"/>
      </w:pPr>
      <w:r>
        <w:t xml:space="preserve">Тел.: (39422) 9-84-43</w:t>
      </w:r>
      <w:r/>
    </w:p>
    <w:p>
      <w:pPr>
        <w:contextualSpacing/>
        <w:ind w:left="0" w:right="0" w:firstLine="0"/>
        <w:jc w:val="both"/>
        <w:spacing w:after="120"/>
        <w:tabs>
          <w:tab w:val="left" w:pos="851" w:leader="none"/>
          <w:tab w:val="left" w:pos="1134" w:leader="none"/>
        </w:tabs>
        <w:suppressLineNumbers w:val="0"/>
      </w:pP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  <w:bCs/>
        </w:rPr>
        <w:t xml:space="preserve">Наименование, место нахождения, почтовый адрес, адрес электронной почты, номер контактного телефона Организатора закупки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rPr>
          <w:i/>
        </w:rPr>
        <w:t xml:space="preserve">Заказчик является Организатором запроса цен по результатам предварительного отбора.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Предмет договора с указанием количества поставляемого товара, объема выполняемой работы, оказываемой услуги</w:t>
      </w:r>
      <w:r>
        <w:rPr>
          <w:b/>
        </w:rPr>
      </w:r>
      <w:r>
        <w:rPr>
          <w:b/>
        </w:rPr>
      </w:r>
    </w:p>
    <w:p>
      <w:pPr>
        <w:pStyle w:val="1087"/>
        <w:jc w:val="both"/>
        <w:tabs>
          <w:tab w:val="left" w:pos="0" w:leader="none"/>
        </w:tabs>
        <w:rPr>
          <w:b/>
        </w:rPr>
      </w:pPr>
      <w:r>
        <w:rPr>
          <w:b/>
          <w:bCs/>
        </w:rPr>
        <w:t xml:space="preserve">Лот № 1 </w:t>
      </w:r>
      <w:r>
        <w:rPr>
          <w:b/>
        </w:rPr>
      </w:r>
      <w:r>
        <w:rPr>
          <w:b/>
        </w:rPr>
      </w:r>
    </w:p>
    <w:p>
      <w:pPr>
        <w:pStyle w:val="1087"/>
        <w:jc w:val="both"/>
        <w:tabs>
          <w:tab w:val="left" w:pos="0" w:leader="none"/>
        </w:tabs>
      </w:pPr>
      <w:r>
        <w:t xml:space="preserve">Право на заключение договора </w:t>
      </w:r>
      <w:r>
        <w:t xml:space="preserve">на </w:t>
      </w:r>
      <w:r>
        <w:t xml:space="preserve">выполнение </w:t>
      </w:r>
      <w:r>
        <w:t xml:space="preserve">комплекса работ (ПИР и СМР) по объектам технологического присоединения. Лот № 79</w:t>
      </w:r>
      <w:r>
        <w:t xml:space="preserve">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jc w:val="both"/>
        <w:tabs>
          <w:tab w:val="left" w:pos="0" w:leader="none"/>
        </w:tabs>
      </w:pPr>
      <w:r>
        <w:t xml:space="preserve">Более подробная информация о количестве поставляемого товара, объеме выполняемых работ, оказываемых услуг,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Частичное выполнение работ/услуг/поставок не допускается.</w:t>
      </w:r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Участник закупки должен принять во внимание, что, если иное не установлено извещением о закупке ссылки в извещении о закупке на конкретный тип продукции, производителя, носят лишь рекомендательный, а не обязательный характер. Учас</w:t>
      </w:r>
      <w:r>
        <w:t xml:space="preserve">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разделе «Техническая часть».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Место поставки товара, выполнения работы, оказания услуги</w:t>
      </w:r>
      <w:r>
        <w:rPr>
          <w:b/>
        </w:rPr>
      </w:r>
      <w:r>
        <w:rPr>
          <w:b/>
        </w:rPr>
      </w:r>
    </w:p>
    <w:p>
      <w:pPr>
        <w:pStyle w:val="1087"/>
        <w:jc w:val="both"/>
        <w:tabs>
          <w:tab w:val="left" w:pos="0" w:leader="none"/>
        </w:tabs>
      </w:pPr>
      <w:r>
        <w:t xml:space="preserve">В соответствии с техническим заданием и проектом договора.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Более подробная информация о месте, условиях и сроках (периодах) поставки товара, выполнения работ, оказания услуг указана в разделах «Техническая часть» и/или «Проект договора», являющихся неотъемлемой частью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rPr>
          <w:b/>
        </w:rPr>
      </w:r>
      <w:r>
        <w:rPr>
          <w:b/>
        </w:rPr>
      </w:r>
    </w:p>
    <w:p>
      <w:pPr>
        <w:jc w:val="both"/>
        <w:spacing w:before="60"/>
        <w:tabs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без учета НДС составляет </w:t>
      </w:r>
      <w:r>
        <w:rPr>
          <w:bCs/>
          <w:lang w:eastAsia="ar-SA"/>
        </w:rPr>
        <w:t xml:space="preserve">24 497 894</w:t>
      </w:r>
      <w:r>
        <w:rPr>
          <w:bCs/>
          <w:lang w:eastAsia="ar-SA"/>
        </w:rPr>
        <w:t xml:space="preserve"> (</w:t>
      </w:r>
      <w:r>
        <w:rPr>
          <w:bCs/>
          <w:lang w:eastAsia="ar-SA"/>
        </w:rPr>
        <w:t xml:space="preserve">Двадцать четыре миллиона четыреста девяноста семь тысяч восемьсот девяноста четыре</w:t>
      </w:r>
      <w:r>
        <w:rPr>
          <w:bCs/>
          <w:lang w:eastAsia="ar-SA"/>
        </w:rPr>
        <w:t xml:space="preserve">) рубля </w:t>
      </w:r>
      <w:r>
        <w:rPr>
          <w:bCs/>
          <w:lang w:eastAsia="ar-SA"/>
        </w:rPr>
        <w:t xml:space="preserve">24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копе</w:t>
      </w:r>
      <w:r>
        <w:rPr>
          <w:bCs/>
          <w:lang w:eastAsia="ar-SA"/>
        </w:rPr>
        <w:t xml:space="preserve">йки</w:t>
      </w:r>
      <w:r>
        <w:rPr>
          <w:bCs/>
          <w:lang w:eastAsia="ar-SA"/>
        </w:rPr>
        <w:t xml:space="preserve">, кроме того НДС в размере </w:t>
      </w:r>
      <w:r>
        <w:rPr>
          <w:bCs/>
          <w:lang w:eastAsia="ar-SA"/>
        </w:rPr>
        <w:t xml:space="preserve">20</w:t>
      </w:r>
      <w:r>
        <w:rPr>
          <w:bCs/>
          <w:lang w:eastAsia="ar-SA"/>
        </w:rPr>
        <w:t xml:space="preserve"> %.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Начальная (максимальная) цена договора с учетом НДС составляет </w:t>
      </w:r>
      <w:r>
        <w:rPr>
          <w:bCs/>
          <w:lang w:eastAsia="ar-SA"/>
        </w:rPr>
        <w:t xml:space="preserve">29 397 473</w:t>
      </w:r>
      <w:r>
        <w:rPr>
          <w:bCs/>
          <w:lang w:eastAsia="ar-SA"/>
        </w:rPr>
        <w:t xml:space="preserve"> (</w:t>
      </w:r>
      <w:r>
        <w:rPr>
          <w:bCs/>
          <w:lang w:eastAsia="ar-SA"/>
        </w:rPr>
        <w:t xml:space="preserve">Двадцать девять миллионов триста девяноста семь тысяч четыреста семьдесят три</w:t>
      </w:r>
      <w:r>
        <w:rPr>
          <w:bCs/>
          <w:lang w:eastAsia="ar-SA"/>
        </w:rPr>
        <w:t xml:space="preserve">) рубл</w:t>
      </w:r>
      <w:r>
        <w:rPr>
          <w:bCs/>
          <w:lang w:eastAsia="ar-SA"/>
        </w:rPr>
        <w:t xml:space="preserve">я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09</w:t>
      </w:r>
      <w:r>
        <w:rPr>
          <w:bCs/>
          <w:lang w:eastAsia="ar-SA"/>
        </w:rPr>
        <w:t xml:space="preserve"> </w:t>
      </w:r>
      <w:r>
        <w:rPr>
          <w:bCs/>
          <w:lang w:eastAsia="ar-SA"/>
        </w:rPr>
        <w:t xml:space="preserve">копеек.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before="60"/>
        <w:tabs>
          <w:tab w:val="left" w:pos="0" w:leader="none"/>
          <w:tab w:val="left" w:pos="708" w:leader="none"/>
        </w:tabs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Начальная (максимальная) цена договора включает в себя: все затраты, накладные расходы, налоги, пошлины, таможенные платежи, с</w:t>
      </w:r>
      <w: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/>
    </w:p>
    <w:p>
      <w:pPr>
        <w:jc w:val="both"/>
        <w:keepNext/>
        <w:spacing w:after="60"/>
        <w:tabs>
          <w:tab w:val="num" w:pos="596" w:leader="none"/>
        </w:tabs>
        <w:outlineLvl w:val="2"/>
      </w:pPr>
      <w:r>
        <w:t xml:space="preserve">Обоснование начальной (максимальной) цены договора, либо цены единицы товара, работы, услуги, приведено в разделе 8 «ОБОСНОВАНИЕ НАЧАЛЬНОЙ (МАКСИМАЛЬНОЙ) ЦЕНЫ ДОГОВОРА».</w:t>
      </w:r>
      <w:r/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Срок, место и порядок предоставления извещения о закупке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i/>
          <w:color w:val="000000"/>
        </w:rPr>
      </w:pPr>
      <w:r>
        <w:t xml:space="preserve">Извещение о закупке в полном объеме в электронном виде безвозмездно доступно для </w:t>
      </w:r>
      <w:r>
        <w:t xml:space="preserve">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https://www.roseltorg.ru/ начиная с «</w:t>
      </w:r>
      <w:r>
        <w:t xml:space="preserve">09</w:t>
      </w:r>
      <w:r>
        <w:t xml:space="preserve">»</w:t>
      </w:r>
      <w:r>
        <w:t xml:space="preserve"> </w:t>
      </w:r>
      <w:r>
        <w:t xml:space="preserve">декабря</w:t>
      </w:r>
      <w:r>
        <w:t xml:space="preserve"> </w:t>
      </w:r>
      <w:r>
        <w:t xml:space="preserve">20</w:t>
      </w:r>
      <w:r>
        <w:t xml:space="preserve">25</w:t>
      </w:r>
      <w:r>
        <w:t xml:space="preserve"> года.</w:t>
      </w:r>
      <w:r>
        <w:rPr>
          <w:i/>
        </w:rPr>
        <w:t xml:space="preserve"> 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  <w:t xml:space="preserve">Порядок, дата начала, дата и время окончания</w:t>
      </w:r>
      <w:r>
        <w:rPr>
          <w:b/>
        </w:rPr>
        <w:t xml:space="preserve">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подается в электронной форме с использованием функционала и в соответствии с Регламентом работы ЭП.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Заявка действительна в течение срока, указанного участником закупки в заявке на участие в </w:t>
      </w:r>
      <w:r>
        <w:t xml:space="preserve">закупке (форма 1). В любом случае этот срок не должен быть менее, чем 90 календарных дней со дня, следующего за днем окончания подачи заявок.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jc w:val="both"/>
        <w:tabs>
          <w:tab w:val="left" w:pos="0" w:leader="none"/>
        </w:tabs>
      </w:pPr>
      <w:r>
        <w:t xml:space="preserve">Дата начала срока подачи заявок: «</w:t>
      </w:r>
      <w:r>
        <w:t xml:space="preserve">09</w:t>
      </w:r>
      <w:r>
        <w:t xml:space="preserve">»</w:t>
      </w:r>
      <w:r>
        <w:t xml:space="preserve"> </w:t>
      </w:r>
      <w:r>
        <w:t xml:space="preserve">декабря</w:t>
      </w:r>
      <w:r>
        <w:t xml:space="preserve"> </w:t>
      </w:r>
      <w:r>
        <w:t xml:space="preserve">20</w:t>
      </w:r>
      <w:r>
        <w:t xml:space="preserve">25</w:t>
      </w:r>
      <w:r>
        <w:t xml:space="preserve"> года;</w:t>
      </w:r>
      <w:r/>
    </w:p>
    <w:p>
      <w:pPr>
        <w:pStyle w:val="1087"/>
        <w:jc w:val="both"/>
        <w:tabs>
          <w:tab w:val="left" w:pos="0" w:leader="none"/>
        </w:tabs>
      </w:pPr>
      <w:r>
        <w:t xml:space="preserve">Дата и время окончания срока, последний день срока подачи Заявок:</w:t>
      </w:r>
      <w:r/>
    </w:p>
    <w:p>
      <w:pPr>
        <w:pStyle w:val="1087"/>
        <w:jc w:val="both"/>
        <w:tabs>
          <w:tab w:val="left" w:pos="0" w:leader="none"/>
        </w:tabs>
      </w:pPr>
      <w:r>
        <w:t xml:space="preserve">«</w:t>
      </w:r>
      <w:r>
        <w:t xml:space="preserve">11</w:t>
      </w:r>
      <w:r>
        <w:t xml:space="preserve">» </w:t>
      </w:r>
      <w:r>
        <w:t xml:space="preserve">декабря</w:t>
      </w:r>
      <w:r>
        <w:t xml:space="preserve"> </w:t>
      </w:r>
      <w:r>
        <w:t xml:space="preserve">20</w:t>
      </w:r>
      <w:r>
        <w:t xml:space="preserve">25</w:t>
      </w:r>
      <w:r>
        <w:t xml:space="preserve"> года </w:t>
      </w:r>
      <w:r>
        <w:t xml:space="preserve">13</w:t>
      </w:r>
      <w:r>
        <w:t xml:space="preserve">:</w:t>
      </w:r>
      <w:r>
        <w:t xml:space="preserve">00</w:t>
      </w:r>
      <w:r>
        <w:t xml:space="preserve"> (время московское)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jc w:val="both"/>
        <w:tabs>
          <w:tab w:val="left" w:pos="0" w:leader="none"/>
        </w:tabs>
      </w:pPr>
      <w:r>
        <w:t xml:space="preserve">Рассмотрение заявок: </w:t>
      </w:r>
      <w:r/>
    </w:p>
    <w:p>
      <w:pPr>
        <w:pStyle w:val="1087"/>
        <w:jc w:val="both"/>
        <w:tabs>
          <w:tab w:val="left" w:pos="0" w:leader="none"/>
        </w:tabs>
      </w:pPr>
      <w:r>
        <w:t xml:space="preserve">Дата начала проведения этапа: с момент направления оператором ЭП заказчику заявок на участие в закупке.</w:t>
      </w:r>
      <w:r/>
    </w:p>
    <w:p>
      <w:pPr>
        <w:pStyle w:val="1087"/>
        <w:jc w:val="both"/>
        <w:tabs>
          <w:tab w:val="left" w:pos="0" w:leader="none"/>
        </w:tabs>
        <w:rPr>
          <w:bCs/>
          <w:i/>
        </w:rPr>
      </w:pPr>
      <w:r>
        <w:t xml:space="preserve">Дата завершения этапа: «</w:t>
      </w:r>
      <w:r>
        <w:t xml:space="preserve">16</w:t>
      </w:r>
      <w:r>
        <w:t xml:space="preserve">»</w:t>
      </w:r>
      <w:r>
        <w:t xml:space="preserve"> </w:t>
      </w:r>
      <w:r>
        <w:t xml:space="preserve">декабря</w:t>
      </w:r>
      <w:r>
        <w:t xml:space="preserve"> </w:t>
      </w:r>
      <w:r>
        <w:t xml:space="preserve">20</w:t>
      </w:r>
      <w:r>
        <w:t xml:space="preserve">2</w:t>
      </w:r>
      <w:r>
        <w:t xml:space="preserve">5 года. </w:t>
      </w:r>
      <w:r>
        <w:rPr>
          <w:bCs/>
          <w:i/>
        </w:rPr>
      </w:r>
      <w:r>
        <w:rPr>
          <w:bCs/>
          <w:i/>
        </w:rPr>
      </w:r>
    </w:p>
    <w:p>
      <w:pPr>
        <w:pStyle w:val="1087"/>
        <w:jc w:val="both"/>
        <w:tabs>
          <w:tab w:val="left" w:pos="0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1087"/>
        <w:jc w:val="both"/>
      </w:pPr>
      <w:r>
        <w:t xml:space="preserve">Переторжка: </w:t>
      </w:r>
      <w:r/>
    </w:p>
    <w:p>
      <w:pPr>
        <w:pStyle w:val="1087"/>
        <w:jc w:val="both"/>
      </w:pPr>
      <w:r>
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/>
    </w:p>
    <w:p>
      <w:pPr>
        <w:pStyle w:val="1087"/>
        <w:jc w:val="both"/>
      </w:pPr>
      <w:r>
        <w:t xml:space="preserve">Шаг переторжки - </w:t>
      </w:r>
      <w:r>
        <w:t xml:space="preserve">1</w:t>
      </w:r>
      <w:r>
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jc w:val="both"/>
        <w:spacing w:after="120"/>
        <w:tabs>
          <w:tab w:val="left" w:pos="0" w:leader="none"/>
        </w:tabs>
        <w:rPr>
          <w:bCs/>
          <w:i/>
        </w:rPr>
      </w:pPr>
      <w:r>
        <w:t xml:space="preserve">Подведение итогов закупки: «</w:t>
      </w:r>
      <w:r>
        <w:t xml:space="preserve">18»</w:t>
      </w:r>
      <w:r>
        <w:t xml:space="preserve"> </w:t>
      </w:r>
      <w:r>
        <w:t xml:space="preserve">декабр</w:t>
      </w:r>
      <w:r>
        <w:t xml:space="preserve">я </w:t>
      </w:r>
      <w:r>
        <w:t xml:space="preserve">20</w:t>
      </w:r>
      <w:r>
        <w:t xml:space="preserve">2</w:t>
      </w:r>
      <w:r>
        <w:t xml:space="preserve">5 года. </w:t>
      </w:r>
      <w:r>
        <w:rPr>
          <w:bCs/>
          <w:i/>
        </w:rPr>
      </w:r>
      <w:r>
        <w:rPr>
          <w:bCs/>
          <w:i/>
        </w:rPr>
      </w:r>
    </w:p>
    <w:p>
      <w:pPr>
        <w:pStyle w:val="1087"/>
        <w:jc w:val="both"/>
      </w:pPr>
      <w:r>
        <w:t xml:space="preserve">Заказчик вправе, при необходимости, изменять даты и время э</w:t>
      </w:r>
      <w:r>
        <w:t xml:space="preserve">тапов закупки, рассмотрения предложений участников и подведения итогов закупки, в том числе после окончания срока подачи заявок.</w:t>
      </w:r>
      <w:r/>
    </w:p>
    <w:p>
      <w:pPr>
        <w:pStyle w:val="1087"/>
        <w:numPr>
          <w:ilvl w:val="1"/>
          <w:numId w:val="3"/>
        </w:numPr>
        <w:ind w:left="0" w:firstLine="0"/>
        <w:jc w:val="both"/>
        <w:spacing w:before="120" w:after="120"/>
        <w:tabs>
          <w:tab w:val="left" w:pos="0" w:leader="none"/>
        </w:tabs>
      </w:pPr>
      <w:r>
        <w:rPr>
          <w:b/>
        </w:rPr>
        <w:t xml:space="preserve">Дата и время окончания срока предоставления участникам закупки разъяснений положений извещения о закупке</w:t>
      </w:r>
      <w:r/>
    </w:p>
    <w:p>
      <w:pPr>
        <w:pStyle w:val="1087"/>
        <w:jc w:val="both"/>
        <w:spacing w:after="120"/>
        <w:tabs>
          <w:tab w:val="left" w:pos="0" w:leader="none"/>
        </w:tabs>
      </w:pPr>
      <w:r>
        <w:t xml:space="preserve">В течение трех рабочих дней с даты поступления запроса, Заказчик осуществляет разъяснение положений извещения о закупке и размещает их в ЕИС с указанием предмета запроса, но без указания участник</w:t>
      </w:r>
      <w:r>
        <w:t xml:space="preserve">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</w:t>
      </w:r>
      <w:r/>
    </w:p>
    <w:p>
      <w:pPr>
        <w:pStyle w:val="1087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rPr>
          <w:b/>
        </w:rPr>
        <w:t xml:space="preserve">Адрес электронной площадки в информационно-телекоммуникационной сети «Интернет»</w:t>
      </w:r>
      <w:r>
        <w:t xml:space="preserve"> </w:t>
      </w:r>
      <w:r/>
    </w:p>
    <w:p>
      <w:pPr>
        <w:pStyle w:val="1087"/>
        <w:jc w:val="both"/>
        <w:spacing w:after="120"/>
        <w:tabs>
          <w:tab w:val="left" w:pos="0" w:leader="none"/>
        </w:tabs>
      </w:pPr>
      <w:r>
        <w:t xml:space="preserve">https://www.roseltorg.ru/</w:t>
      </w:r>
      <w:r/>
    </w:p>
    <w:p>
      <w:pPr>
        <w:pStyle w:val="1087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заявок на участие в закупке. Размер обеспечения заявки на участие в закупке, порядок</w:t>
      </w:r>
      <w:r>
        <w:rPr>
          <w:b/>
        </w:rPr>
        <w:t xml:space="preserve"> и срок его предоставления в случае установления требования обеспечения заявки на участие в закупке</w:t>
      </w:r>
      <w:r>
        <w:rPr>
          <w:b/>
        </w:rPr>
      </w:r>
      <w:r>
        <w:rPr>
          <w:b/>
        </w:rPr>
      </w:r>
    </w:p>
    <w:p>
      <w:pPr>
        <w:pStyle w:val="1087"/>
        <w:jc w:val="both"/>
        <w:tabs>
          <w:tab w:val="left" w:pos="0" w:leader="none"/>
        </w:tabs>
      </w:pPr>
      <w:r>
        <w:t xml:space="preserve">Не требуется.</w:t>
      </w:r>
      <w:r/>
    </w:p>
    <w:p>
      <w:pPr>
        <w:pStyle w:val="1087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87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</w:rPr>
        <w:t xml:space="preserve">Обеспечение исполнения договора. 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</w:t>
      </w:r>
      <w:r>
        <w:rPr>
          <w:b/>
        </w:rPr>
        <w:t xml:space="preserve">договора), и срок его исполнения</w:t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Требуется обеспечение исполнения договора в соответствии с разделом 6 «ПРОЕКТ ДОГОВОРА» и в случаях, указанных в п. 3.17 извещения о проведении закупки.</w:t>
      </w:r>
      <w:r/>
    </w:p>
    <w:p>
      <w:pPr>
        <w:jc w:val="both"/>
      </w:pPr>
      <w:r>
        <w:t xml:space="preserve">Размер обеспечения – установлен в разделе 6 «ПРОЕКТ ДОГОВОРА» и п. 3.17 извещения о проведении закупки.</w:t>
      </w:r>
      <w:r/>
    </w:p>
    <w:p>
      <w:pPr>
        <w:jc w:val="both"/>
      </w:pPr>
      <w:r>
        <w:rPr>
          <w:iCs/>
        </w:rPr>
        <w:t xml:space="preserve">Порядок предоставления обеспечения</w:t>
      </w:r>
      <w:r>
        <w:t xml:space="preserve"> установлен в настоящем извещении о проведении закупки и разделе 6 «ПРОЕКТ ДОГОВОРА».</w:t>
      </w:r>
      <w:r/>
    </w:p>
    <w:p>
      <w:pPr>
        <w:jc w:val="both"/>
      </w:pPr>
      <w:r>
        <w:t xml:space="preserve">Основное обязательство, исполнение которого обеспечивается – установлено в разделе 6 «ПРОЕКТ ДОГОВОРА».</w:t>
      </w:r>
      <w:r/>
    </w:p>
    <w:p>
      <w:pPr>
        <w:jc w:val="both"/>
      </w:pPr>
      <w:r>
        <w:t xml:space="preserve">Срок исполнения – установлен в разделе 6 «ПРОЕКТ ДОГОВОРА».</w:t>
      </w:r>
      <w:r/>
    </w:p>
    <w:p>
      <w:pPr>
        <w:jc w:val="both"/>
      </w:pPr>
      <w:r>
        <w:t xml:space="preserve">Срок предоставления обеспечения - установлен в разделе 6 «ПРОЕКТ ДОГОВОРА».</w:t>
      </w:r>
      <w:r/>
    </w:p>
    <w:p>
      <w:pPr>
        <w:jc w:val="both"/>
      </w:pPr>
      <w:r>
        <w:t xml:space="preserve">Иные требования к обеспечению, в том числе условия независимой гарантии и требования к гарантам, указаны в п. 3.17 извещения о проведении закупки.</w:t>
      </w:r>
      <w:r/>
    </w:p>
    <w:p>
      <w:pPr>
        <w:pStyle w:val="1087"/>
        <w:jc w:val="both"/>
        <w:tabs>
          <w:tab w:val="left" w:pos="0" w:leader="none"/>
        </w:tabs>
      </w:pPr>
      <w:r/>
      <w:r/>
    </w:p>
    <w:p>
      <w:pPr>
        <w:pStyle w:val="1087"/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b/>
        </w:rPr>
      </w:pPr>
      <w:r>
        <w:rPr>
          <w:b/>
          <w:bCs/>
          <w:color w:val="auto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</w:t>
      </w:r>
      <w:r>
        <w:rPr>
          <w:b/>
          <w:bCs/>
          <w:color w:val="auto"/>
        </w:rPr>
        <w:t xml:space="preserve">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r>
        <w:rPr>
          <w:b/>
        </w:rPr>
      </w:r>
      <w:r>
        <w:rPr>
          <w:b/>
        </w:rPr>
      </w:r>
    </w:p>
    <w:p>
      <w:pPr>
        <w:numPr>
          <w:ilvl w:val="2"/>
          <w:numId w:val="3"/>
        </w:numPr>
        <w:ind w:left="0" w:firstLine="0"/>
        <w:jc w:val="both"/>
      </w:pPr>
      <w:r>
        <w:t xml:space="preserve">Запрет, ограничение закупок товаров </w:t>
      </w:r>
      <w: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u w:val="single"/>
        </w:rPr>
        <w:t xml:space="preserve">в случаях, определенных ПП № 1875</w:t>
      </w:r>
      <w:r>
        <w:t xml:space="preserve">: </w:t>
      </w:r>
      <w:r/>
    </w:p>
    <w:p>
      <w:pPr>
        <w:pStyle w:val="875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75"/>
        <w:ind w:firstLine="567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ind w:firstLine="567"/>
        <w:jc w:val="both"/>
        <w:widowControl w:val="off"/>
      </w:pPr>
      <w:r>
        <w:t xml:space="preserve">-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раздела 7 «ТЕХНИЧЕСКАЯ ЧАСТЬ».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</w:t>
      </w:r>
      <w: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ограничение, не допускается заключение договора на поставку такого товара, происходящего из иностранного государства, </w:t>
      </w:r>
      <w:r>
        <w:t xml:space="preserve">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2"/>
          <w:numId w:val="3"/>
        </w:numPr>
        <w:ind w:left="0" w:firstLine="0"/>
        <w:jc w:val="both"/>
      </w:pPr>
      <w: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</w:t>
      </w:r>
      <w:r>
        <w:t xml:space="preserve">именяются 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</w:rPr>
        <w:t xml:space="preserve">Во всем, что не урегулировано извещением о закупке стороны руководствуются законодательством о закупках отдельными видами юридических лиц, Гражданским кодексом Российской Федерации, </w:t>
      </w:r>
      <w:r>
        <w:rPr>
          <w:b/>
          <w:bCs/>
        </w:rPr>
        <w:t xml:space="preserve">Единым стандартом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закупке).</w:t>
      </w:r>
      <w:r>
        <w:rPr>
          <w:b/>
        </w:rPr>
      </w:r>
      <w:r>
        <w:rPr>
          <w:b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участникам закупки, требования к информации и документам, представляемым в составе заявки участника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  <w:rPr>
          <w:u w:val="single"/>
        </w:rPr>
      </w:pPr>
      <w:r>
        <w:rPr>
          <w:b/>
          <w:u w:val="single"/>
        </w:rPr>
        <w:t xml:space="preserve">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закупки запросов цен</w:t>
      </w:r>
      <w:r>
        <w:rPr>
          <w:b/>
          <w:u w:val="single"/>
        </w:rPr>
        <w:t xml:space="preserve"> по результатам предварительного отбора </w:t>
      </w:r>
      <w:r>
        <w:rPr>
          <w:b/>
          <w:bCs/>
          <w:u w:val="single"/>
        </w:rPr>
        <w:t xml:space="preserve">№24-84 на право заключения рамочных соглашений на выполнение строительно-</w:t>
      </w:r>
      <w:r>
        <w:rPr>
          <w:b/>
          <w:bCs/>
          <w:u w:val="single"/>
        </w:rPr>
        <w:t xml:space="preserve">монтажных и пуско-наладочных работ по техническому перевооружению, реконструкции, строительству ВЛ 10 кВ, ВЛ 0,4 кВ,  КЛ-10 кВ, КЛ-0,4 кВ, КТП 10/0,4кВ, СТП 10/0,4кВ, РТП 10/0,4 кВ с разработкой ПСД и РД в регионе присутствия АО "Россети Сибирь Тываэнерго"</w:t>
      </w:r>
      <w:r>
        <w:rPr>
          <w:b/>
          <w:bCs/>
          <w:u w:val="single"/>
        </w:rPr>
        <w:t xml:space="preserve"> для нужд АО «Россети Сибирь Тываэнерго»</w:t>
      </w:r>
      <w:r>
        <w:rPr>
          <w:u w:val="single"/>
        </w:rPr>
        <w:t xml:space="preserve"> (протокол заседания Закупочной комиссии ПАО «</w:t>
      </w:r>
      <w:r>
        <w:rPr>
          <w:u w:val="single"/>
        </w:rPr>
        <w:t xml:space="preserve">Россети Сибирь</w:t>
      </w:r>
      <w:r>
        <w:rPr>
          <w:u w:val="single"/>
        </w:rPr>
        <w:t xml:space="preserve">» по подведению итогов № </w:t>
      </w:r>
      <w:r>
        <w:rPr>
          <w:u w:val="single"/>
        </w:rPr>
        <w:t xml:space="preserve">24-84/32414167943/ТЭ</w:t>
      </w:r>
      <w:r>
        <w:rPr>
          <w:u w:val="single"/>
        </w:rPr>
        <w:t xml:space="preserve"> от 19.03.2025г. </w:t>
      </w:r>
      <w:r>
        <w:rPr>
          <w:b/>
          <w:u w:val="single"/>
        </w:rPr>
        <w:t xml:space="preserve">прилагается</w:t>
      </w:r>
      <w:r>
        <w:rPr>
          <w:iCs/>
          <w:u w:val="single"/>
        </w:rPr>
        <w:t xml:space="preserve">)</w:t>
      </w:r>
      <w:r>
        <w:rPr>
          <w:u w:val="single"/>
        </w:rPr>
        <w:t xml:space="preserve">, с которыми Заказчиком заключены со</w:t>
      </w:r>
      <w:r>
        <w:rPr>
          <w:u w:val="single"/>
        </w:rPr>
        <w:t xml:space="preserve">глашения, являющиеся </w:t>
      </w:r>
      <w:r>
        <w:rPr>
          <w:b/>
          <w:u w:val="single"/>
        </w:rPr>
        <w:t xml:space="preserve">субъектами малого или среднего предпринимательства.</w:t>
      </w:r>
      <w:r>
        <w:rPr>
          <w:u w:val="single"/>
        </w:rPr>
      </w:r>
      <w:r>
        <w:rPr>
          <w:u w:val="single"/>
        </w:rPr>
      </w:r>
    </w:p>
    <w:p>
      <w:pPr>
        <w:numPr>
          <w:ilvl w:val="1"/>
          <w:numId w:val="3"/>
        </w:numPr>
        <w:ind w:left="0" w:firstLine="0"/>
        <w:jc w:val="both"/>
        <w:spacing w:after="120"/>
        <w:tabs>
          <w:tab w:val="left" w:pos="0" w:leader="none"/>
        </w:tabs>
      </w:pPr>
      <w:r>
        <w:t xml:space="preserve">Чтобы претендовать на победу в закупке и получения права заключить договор, участник закупки должен отвечать следующим требованиям и включить в состав заявки следующую информацию и документы:</w:t>
      </w:r>
      <w:r/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758"/>
        <w:gridCol w:w="5478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заявки на участие в запросе цен по результатам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Заявка на участие в запросе цен по результатам предварительного отбора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  <w:r>
              <w:rPr>
                <w:i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сводной таблицы стоимости поставок, работ (услуг) требованиям извещения.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раздела 7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закупочной документации.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</w:t>
            </w:r>
            <w:r>
              <w:rPr>
                <w:sz w:val="20"/>
                <w:szCs w:val="20"/>
              </w:rPr>
              <w:t xml:space="preserve">акого решения для совершения крупной сделки установлено законодательством Российской 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Участник должен состоять в саморегулируемых организациях (СРО) и иметь право выполнять проектные </w:t>
            </w:r>
            <w:r>
              <w:rPr>
                <w:color w:val="000000"/>
                <w:sz w:val="20"/>
                <w:szCs w:val="20"/>
              </w:rPr>
              <w:t xml:space="preserve">и строительно-монтажные работы  в отношении объектов кап.строительства (кроме особо опасных, технически сложных и уникальных объектов, объектов использования атомной энергии), а так же в области архитектурно-строительного проектирования и их обязательства.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отслеживаются Заказчиком самостоятельно по информации, размещенной на сайтах Единого реестра членов СРО:</w:t>
            </w:r>
            <w:r>
              <w:rPr>
                <w:sz w:val="20"/>
                <w:szCs w:val="20"/>
              </w:rPr>
              <w:br/>
              <w:t xml:space="preserve">-Национального объединения саморегулируемых организаций, основанных на членстве лиц, осуществляющих строительство (НОСТРОЙ) в сети «Интернет» по адресу: http://reestr.nostroy.ru/reestr.</w:t>
            </w:r>
            <w:r>
              <w:rPr>
                <w:sz w:val="20"/>
                <w:szCs w:val="20"/>
              </w:rPr>
              <w:br/>
              <w:t xml:space="preserve">-Национ</w:t>
            </w:r>
            <w:bookmarkStart w:id="0" w:name="_GoBack"/>
            <w:r/>
            <w:bookmarkEnd w:id="0"/>
            <w:r>
              <w:rPr>
                <w:sz w:val="20"/>
                <w:szCs w:val="20"/>
              </w:rPr>
              <w:t xml:space="preserve">альное объединение изыскателей и проектировщиков (НОПРИЗ) в сети «Интернет» по адресу: https://www.nopriz.ru/nreesters/elektronnyy-reestr/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11"/>
              </w:numPr>
              <w:ind w:left="34" w:firstLine="0"/>
              <w:keepNext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приема заявок.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приема заявок.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keepNext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keepNext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АО «Россети Сибирь Тываэнерго» размещена официальном сайте АО «Россети Сибирь Тываэнерго» </w:t>
            </w:r>
            <w:r>
              <w:rPr>
                <w:bCs/>
                <w:sz w:val="20"/>
                <w:szCs w:val="20"/>
              </w:rPr>
              <w:t xml:space="preserve">https://www.tuvaenergo.ru</w:t>
            </w:r>
            <w:r>
              <w:rPr>
                <w:bCs/>
                <w:sz w:val="20"/>
                <w:szCs w:val="20"/>
              </w:rPr>
              <w:t xml:space="preserve"> в разделе Закупки.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14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15" w:tooltip="https://npd.nalog.ru/check-status/" w:history="1">
              <w:r>
                <w:rPr>
                  <w:rStyle w:val="1036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</w:t>
            </w:r>
            <w:r>
              <w:rPr>
                <w:sz w:val="20"/>
                <w:szCs w:val="20"/>
              </w:rPr>
              <w:t xml:space="preserve">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</w:t>
            </w:r>
            <w:r>
              <w:rPr>
                <w:sz w:val="20"/>
                <w:szCs w:val="20"/>
              </w:rPr>
              <w:t xml:space="preserve">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6" w:tooltip="http://www.zakupki.gov.ru" w:history="1">
              <w:r>
                <w:rPr>
                  <w:rStyle w:val="1036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Подрядчик должен быть обеспечен автотранспортом и спецтехникой (находящейся в </w:t>
            </w:r>
            <w:r>
              <w:rPr>
                <w:rFonts w:eastAsia="Calibri"/>
                <w:bCs/>
                <w:sz w:val="20"/>
                <w:szCs w:val="20"/>
              </w:rPr>
              <w:t xml:space="preserve">собственности, лизинге или аренде), привлекаемым</w:t>
            </w:r>
            <w:r>
              <w:rPr>
                <w:rFonts w:eastAsia="Calibri"/>
                <w:bCs/>
                <w:sz w:val="20"/>
                <w:szCs w:val="20"/>
              </w:rPr>
              <w:t xml:space="preserve">и для выполнения СМР, а именно: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бригадный автомобиль - 2 ед.;</w:t>
            </w:r>
            <w:r>
              <w:rPr>
                <w:color w:val="000000"/>
                <w:sz w:val="20"/>
                <w:szCs w:val="20"/>
              </w:rPr>
              <w:br/>
              <w:t xml:space="preserve">автомобильный кран - 1 ед.;</w:t>
            </w:r>
            <w:r>
              <w:rPr>
                <w:color w:val="000000"/>
                <w:sz w:val="20"/>
                <w:szCs w:val="20"/>
              </w:rPr>
              <w:br/>
              <w:t xml:space="preserve">КМУ (автовышка) - 1 ед.;</w:t>
            </w:r>
            <w:r>
              <w:rPr>
                <w:color w:val="000000"/>
                <w:sz w:val="20"/>
                <w:szCs w:val="20"/>
              </w:rPr>
              <w:br/>
              <w:t xml:space="preserve">автомобиль бортовой - 2 ед.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</w:t>
            </w:r>
            <w:r>
              <w:rPr>
                <w:rFonts w:eastAsia="Calibri"/>
                <w:bCs/>
                <w:sz w:val="20"/>
                <w:szCs w:val="20"/>
              </w:rPr>
              <w:t xml:space="preserve">Справка по МТР по установленной ЗД форме.</w:t>
            </w:r>
            <w:r>
              <w:rPr>
                <w:rFonts w:eastAsia="Calibri"/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sz w:val="20"/>
                <w:szCs w:val="20"/>
              </w:rPr>
              <w:t xml:space="preserve">2. </w:t>
            </w:r>
            <w:r>
              <w:rPr>
                <w:rFonts w:eastAsia="Calibri"/>
                <w:bCs/>
                <w:sz w:val="20"/>
                <w:szCs w:val="20"/>
              </w:rPr>
              <w:t xml:space="preserve">Докуме</w:t>
            </w:r>
            <w:r>
              <w:rPr>
                <w:rFonts w:eastAsia="Calibri"/>
                <w:bCs/>
                <w:sz w:val="20"/>
                <w:szCs w:val="20"/>
              </w:rPr>
              <w:t xml:space="preserve">нты подтверждающе наличие в собственности автотранспорта и спец.техники (полисы ОСАГО или свидетельства о регистрации транспортных средств) либо договор аренды (с приложением подтверждающих документов о наличии автотранспорта и спец.техники у арендодателя)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927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Численность рабочих, привлекаемых для выполнения работ, </w:t>
            </w:r>
            <w:r>
              <w:rPr>
                <w:rFonts w:eastAsia="Calibri"/>
                <w:bCs/>
                <w:sz w:val="20"/>
                <w:szCs w:val="20"/>
              </w:rPr>
              <w:t xml:space="preserve">должна составлять не менее 19 человек, в том числе: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ГИП -</w:t>
            </w:r>
            <w:r>
              <w:rPr>
                <w:rFonts w:eastAsia="Calibri"/>
                <w:bCs/>
                <w:sz w:val="20"/>
                <w:szCs w:val="20"/>
              </w:rPr>
              <w:t xml:space="preserve"> 2 чел, инженер-проектировщик- 4 чел., инженер-геодезист -1 чел., инженер -сметчик- 1 чел., кадастровый инженер - 1 чел., инженер по наладке и испытаниям - 4 чел., электромонтер-линейщик - 4 чел.,  электромонтажник по силовым сетям и оборудованию - 2 чел..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На работников заявленных на выпол</w:t>
            </w:r>
            <w:r>
              <w:rPr>
                <w:rFonts w:eastAsia="Calibri"/>
                <w:bCs/>
                <w:sz w:val="20"/>
                <w:szCs w:val="20"/>
              </w:rPr>
              <w:t xml:space="preserve">нение договора должны быть предоставлены документы, подтверждающие квалификацию и опыт заявленных специалистов, в том числе документы об образовании, трудовая книжка (первая страница и листы с записями о последнем, предыдущем и настоящем месте работы).   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Работники, привлечённые для выполнения работ, обязаны иметь как минимум 4 группу по ЭБ, позволяющую выполнять работы в действующих электроустановках;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09" w:type="pct"/>
            <w:textDirection w:val="lrTb"/>
            <w:noWrap w:val="false"/>
          </w:tcPr>
          <w:p>
            <w:pPr>
              <w:ind w:right="34" w:firstLine="34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Для  подтверждения выполнения данного требования, в составе предложения, предоставляются следующие документы: 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справка о кадровых ресурсах (с указанием общего стажа работы каждого работника по специальности) по установленной КД форме;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копии трудовых книжек;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копии дипломов об основном образовании;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копии свидетельств о прохождении регламентируемых законодательством РФ обязательных курсов повышения квалификации;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справка по форме КНД согласно действующего приказа о расчёте по страховым взносам в ФНС, за последний отчётный период;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- удостоверения по ЭБ на весь привлекаемый для выполнения СМР персонал.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>
              <w:rPr>
                <w:rFonts w:eastAsia="Calibri"/>
                <w:sz w:val="20"/>
                <w:szCs w:val="20"/>
              </w:rPr>
              <w:t xml:space="preserve">субподрядчиком/соисполнителем/сопоставщиком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/>
            <w:bookmarkStart w:id="1" w:name="_Toc476225272"/>
            <w:r/>
            <w:bookmarkStart w:id="2" w:name="_Toc485198206"/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</w:t>
            </w:r>
            <w:bookmarkEnd w:id="1"/>
            <w:r/>
            <w:bookmarkEnd w:id="2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113" w:right="34" w:firstLine="0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к тем участникам, которые прошли закупочную процедуру предварительного отбора в качестве коллективного участника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настоящей документации.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</w:tbl>
    <w:p>
      <w:pPr>
        <w:ind w:right="-142" w:firstLine="709"/>
        <w:jc w:val="both"/>
        <w:keepNext/>
        <w:widowControl w:val="off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jc w:val="both"/>
      </w:pPr>
      <w:r>
        <w:t xml:space="preserve">2.3. В случае, если в закупочной процедуре принимает участие объединение (группа лиц</w:t>
      </w:r>
      <w: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/>
    </w:p>
    <w:p>
      <w:pPr>
        <w:jc w:val="both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jc w:val="both"/>
      </w:pPr>
      <w:r>
        <w:t xml:space="preserve">2.4. 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/>
    </w:p>
    <w:p>
      <w:pPr>
        <w:jc w:val="both"/>
      </w:pPr>
      <w:r>
        <w:t xml:space="preserve">- 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jc w:val="both"/>
      </w:pPr>
      <w:r>
        <w:t xml:space="preserve">- 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jc w:val="both"/>
      </w:pPr>
      <w:r>
        <w:t xml:space="preserve">- в состав заявки дополнительно включается соглашение между членами коллективного участника.</w:t>
      </w:r>
      <w:r/>
    </w:p>
    <w:p>
      <w:pPr>
        <w:jc w:val="both"/>
      </w:pPr>
      <w:r>
        <w:t xml:space="preserve">2.5.</w:t>
      </w:r>
      <w:r>
        <w:rPr>
          <w:color w:val="ff0000"/>
        </w:rPr>
        <w:t xml:space="preserve"> </w:t>
      </w:r>
      <w:r>
        <w:t xml:space="preserve">В случае участия в закупке коллективного участника (группы лиц) при оценке соответствия заявки отбор</w:t>
      </w:r>
      <w: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/>
    </w:p>
    <w:p>
      <w:pPr>
        <w:jc w:val="both"/>
        <w:spacing w:after="60"/>
        <w:rPr>
          <w:b/>
        </w:rPr>
        <w:outlineLvl w:val="2"/>
      </w:pPr>
      <w:r>
        <w:t xml:space="preserve">2.6. Участник закупки вправе привлечь к исполнению договора соисполнителей (субподря</w:t>
      </w:r>
      <w:r>
        <w:t xml:space="preserve">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разделами 6 и/или 7 настоящего извещения, </w:t>
      </w:r>
      <w:r>
        <w:rPr>
          <w:b/>
        </w:rPr>
        <w:t xml:space="preserve">при этом </w:t>
      </w:r>
      <w:r>
        <w:rPr>
          <w:rFonts w:eastAsia="Calibri"/>
          <w:b/>
        </w:rPr>
        <w:t xml:space="preserve">участник вправе привлекать на субподряд только те организации, которые были заявлены им как потенциальные субподрядчики в ходе предварительного отбора.</w:t>
      </w:r>
      <w:r>
        <w:rPr>
          <w:b/>
        </w:rPr>
      </w:r>
      <w:r>
        <w:rPr>
          <w:b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/>
      <w:bookmarkStart w:id="3" w:name="_Ref536541397"/>
      <w:r>
        <w:rPr>
          <w:rFonts w:ascii="Times New Roman" w:hAnsi="Times New Roman"/>
          <w:sz w:val="24"/>
          <w:szCs w:val="24"/>
        </w:rPr>
        <w:t xml:space="preserve">Порядок проведения закупки (этапов закупки), подведения итогов закупки</w:t>
      </w:r>
      <w:bookmarkEnd w:id="3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Заявки участников рассматриваются в соответствии с требованиями, установленными извещением о закупке, на основан</w:t>
      </w:r>
      <w:r>
        <w:t xml:space="preserve">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извещении о закупке.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рамках рассмотрения заявок закупочная комиссия</w:t>
      </w:r>
      <w: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/>
    </w:p>
    <w:p>
      <w:pPr>
        <w:ind w:firstLine="567"/>
        <w:jc w:val="both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jc w:val="both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jc w:val="both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jc w:val="both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заявку участника в случаях, если: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не соответствует требованиям к участнику закупки, установленным извещением о закупке, в том числе если сведения об уч</w:t>
      </w:r>
      <w:r>
        <w:t xml:space="preserve">астнике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извещении о закупке) отсутствуют в едином реестре субъектов МСП;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заявка участника не соответствует требовани</w:t>
      </w:r>
      <w:r>
        <w:t xml:space="preserve">ям, установленным в извещении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в извещении о закупке);</w:t>
      </w:r>
      <w:r/>
    </w:p>
    <w:p>
      <w:pPr>
        <w:numPr>
          <w:ilvl w:val="0"/>
          <w:numId w:val="4"/>
        </w:numPr>
        <w:ind w:left="709" w:hanging="283"/>
        <w:jc w:val="both"/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в извещении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/>
    </w:p>
    <w:p>
      <w:pPr>
        <w:numPr>
          <w:ilvl w:val="1"/>
          <w:numId w:val="3"/>
        </w:numPr>
        <w:ind w:left="0" w:firstLine="426"/>
        <w:jc w:val="both"/>
      </w:pPr>
      <w:r>
        <w:t xml:space="preserve">На основании результатов рассмотрения заявок на участие в закупке закупочной комиссией принимается решение: 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соответствующей требованиям извещения о закупке;</w:t>
      </w:r>
      <w:r/>
    </w:p>
    <w:p>
      <w:pPr>
        <w:numPr>
          <w:ilvl w:val="0"/>
          <w:numId w:val="5"/>
        </w:numPr>
        <w:ind w:left="0" w:firstLine="426"/>
        <w:jc w:val="both"/>
      </w:pPr>
      <w:r>
        <w:t xml:space="preserve"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 результатам рассмотрения заявок участников закупки составляется протокол, в котором указывает</w:t>
      </w:r>
      <w:r>
        <w:t xml:space="preserve">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извещения о закупке.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ценовых предложений осуществляется в части соответствия требованиям извещения о закупке, в части непревышения ценового предложения участника начальной (максимальной) цены догово</w:t>
      </w:r>
      <w:r>
        <w:t xml:space="preserve">ра, в части соблюдения требований по предоставлению преимущества, предусмотренного ПП № 1875 и др. Цена договора, предлагаемая участником закупки, не может превышать начальную (максимальную) цену договора, при этом в случае, если участник закупки находится</w:t>
      </w:r>
      <w:r>
        <w:t xml:space="preserve">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При проведении запроса цен в обязательном порядке проводится переторжка,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t xml:space="preserve">Переторжка проводится при условии допуска к участию в закупке одного и более участников.</w:t>
      </w:r>
      <w:r>
        <w:rPr>
          <w:bCs/>
        </w:rPr>
        <w:t xml:space="preserve"> Участник закупки вправе не участвовать в переторжке, в этом случае его заявка остается действующей с ранее объявленной ценой</w:t>
      </w:r>
      <w:r>
        <w:t xml:space="preserve">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bCs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Участники закупки, участвовавшие в переторжке и снизившие свою цену, обязаны дополните</w:t>
      </w:r>
      <w:r>
        <w:rPr>
          <w:bCs/>
        </w:rPr>
        <w:t xml:space="preserve">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Шаг переторжки определяется Закупочной комиссией и указывается в </w:t>
      </w:r>
      <w:r>
        <w:t xml:space="preserve">пункте 1.8. извещения о закупке</w:t>
      </w:r>
      <w:r>
        <w:rPr>
          <w:bCs/>
        </w:rPr>
        <w:t xml:space="preserve">. </w:t>
      </w:r>
      <w:r/>
    </w:p>
    <w:p>
      <w:pPr>
        <w:numPr>
          <w:ilvl w:val="1"/>
          <w:numId w:val="3"/>
        </w:numPr>
        <w:ind w:left="0" w:firstLine="0"/>
        <w:jc w:val="both"/>
        <w:tabs>
          <w:tab w:val="num" w:pos="454" w:leader="none"/>
        </w:tabs>
      </w:pPr>
      <w:r>
        <w:rPr>
          <w:bCs/>
        </w:rPr>
        <w:t xml:space="preserve">Время проведения первой процедуры переторжки (время ожидания ценовых предложений)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</w:r>
      <w: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ЭП.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</w:rPr>
      </w:pPr>
      <w:r>
        <w:rPr>
          <w:b/>
          <w:bCs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r>
        <w:rPr>
          <w:b/>
        </w:rPr>
      </w:r>
      <w:r>
        <w:rPr>
          <w:b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Установленные настоящим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пунктом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требования к дополнительному обеспечению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применяются Заказчиком только в том случае, если аналогичные требования содержатся в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разделе 6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«ПРОЕКТ ДОГОВОРА» настояще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го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/>
        </w:rPr>
        <w:t xml:space="preserve">извещения </w:t>
      </w: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о закупке, на 25 (двадцать пять) и более процентов.</w:t>
      </w:r>
      <w:r>
        <w:rPr>
          <w:rFonts w:ascii="Times New Roman" w:hAnsi="Times New Roman"/>
          <w:b w:val="0"/>
          <w:color w:val="000000" w:themeColor="text1"/>
        </w:rPr>
      </w:r>
      <w:r>
        <w:rPr>
          <w:rFonts w:ascii="Times New Roman" w:hAnsi="Times New Roman"/>
          <w:b w:val="0"/>
          <w:color w:val="000000" w:themeColor="text1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/>
          <w:b w:val="0"/>
          <w:sz w:val="24"/>
          <w:szCs w:val="24"/>
        </w:rPr>
        <w:t xml:space="preserve">с которым планируется заключить д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оговор,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используется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установленная в извещении о закупке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u w:val="single"/>
          <w:lang w:val="ru-RU"/>
        </w:rPr>
        <w:t xml:space="preserve">начальная (максимальная) цена договора,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  <w:lang w:val="ru-RU"/>
        </w:rPr>
        <w:t xml:space="preserve">включая все налоги и сборы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  <w:u w:val="single"/>
          <w:lang w:val="ru-RU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/>
          <w:sz w:val="24"/>
          <w:szCs w:val="24"/>
          <w:u w:val="single"/>
        </w:rPr>
        <w:t xml:space="preserve">с учетом всех налогов и сборов</w:t>
      </w:r>
      <w:r>
        <w:rPr>
          <w:rFonts w:ascii="Times New Roman" w:hAnsi="Times New Roman"/>
          <w:b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/>
          <w:b w:val="0"/>
          <w:bCs w:val="0"/>
          <w:color w:val="000000" w:themeColor="text1"/>
          <w:u w:val="single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/>
      <w:bookmarkStart w:id="4" w:name="undefined"/>
      <w:r>
        <w:rPr>
          <w:rFonts w:ascii="Times New Roman" w:hAnsi="Times New Roman"/>
          <w:b w:val="0"/>
          <w:sz w:val="24"/>
          <w:szCs w:val="24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о </w:t>
      </w:r>
      <w:r>
        <w:rPr>
          <w:rFonts w:ascii="Times New Roman" w:hAnsi="Times New Roman"/>
          <w:b w:val="0"/>
          <w:sz w:val="24"/>
          <w:szCs w:val="24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4"/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tbl>
      <w:tblPr>
        <w:tblStyle w:val="910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</w:t>
      </w:r>
      <w:r>
        <w:rPr>
          <w:rFonts w:ascii="Times New Roman" w:hAnsi="Times New Roman"/>
          <w:b w:val="0"/>
          <w:sz w:val="24"/>
          <w:szCs w:val="24"/>
        </w:rPr>
        <w:t xml:space="preserve">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о закупке способом не допускается.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Обеспечение исполнения договора </w:t>
      </w: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предо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ставляется на пери</w:t>
      </w:r>
      <w:r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Срок предоставления победителем (либо единственным участником, признанным соответствующим требованиям извещения о закупке,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 которым планируется заключить договор</w:t>
      </w:r>
      <w:r>
        <w:rPr>
          <w:rFonts w:ascii="Times New Roman" w:hAnsi="Times New Roman"/>
          <w:b w:val="0"/>
          <w:sz w:val="24"/>
          <w:szCs w:val="24"/>
        </w:rPr>
        <w:t xml:space="preserve">) обеспечения исполнение договора – </w:t>
      </w:r>
      <w:r>
        <w:rPr>
          <w:rFonts w:ascii="Times New Roman" w:hAnsi="Times New Roman"/>
          <w:sz w:val="24"/>
          <w:szCs w:val="24"/>
          <w:u w:val="single"/>
        </w:rPr>
        <w:t xml:space="preserve">не позднее 10 рабочих дней с даты размещения в единой информационной системе итогового протокола</w:t>
      </w:r>
      <w:r>
        <w:rPr>
          <w:rFonts w:ascii="Times New Roman" w:hAnsi="Times New Roman"/>
          <w:bCs w:val="0"/>
          <w:sz w:val="24"/>
          <w:szCs w:val="24"/>
          <w:u w:val="singl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участником закупки решения о предоставлении обеспечение исполнения обязательств по договору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ind w:firstLine="567"/>
        <w:jc w:val="both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jc w:val="both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jc w:val="both"/>
        <w:widowControl w:val="off"/>
      </w:pPr>
      <w:r>
        <w:t xml:space="preserve">ИНН 1701029232  </w:t>
      </w:r>
      <w:r/>
    </w:p>
    <w:p>
      <w:pPr>
        <w:ind w:firstLine="567"/>
        <w:jc w:val="both"/>
        <w:widowControl w:val="off"/>
      </w:pPr>
      <w:r>
        <w:t xml:space="preserve">КПП 170101001</w:t>
      </w:r>
      <w:r/>
    </w:p>
    <w:p>
      <w:pPr>
        <w:ind w:firstLine="567"/>
        <w:jc w:val="both"/>
        <w:widowControl w:val="off"/>
      </w:pPr>
      <w:r>
        <w:t xml:space="preserve">ОГРН 1021700509566     </w:t>
      </w:r>
      <w:r/>
    </w:p>
    <w:p>
      <w:pPr>
        <w:ind w:firstLine="567"/>
        <w:jc w:val="both"/>
        <w:widowControl w:val="off"/>
      </w:pPr>
      <w:r>
        <w:t xml:space="preserve">ОКПО 40871124 </w:t>
      </w:r>
      <w:r/>
    </w:p>
    <w:p>
      <w:pPr>
        <w:ind w:firstLine="567"/>
        <w:jc w:val="both"/>
        <w:widowControl w:val="off"/>
      </w:pPr>
      <w:r>
        <w:t xml:space="preserve">ОКВЭД 35.12 </w:t>
      </w:r>
      <w:r/>
    </w:p>
    <w:p>
      <w:pPr>
        <w:ind w:firstLine="567"/>
        <w:jc w:val="both"/>
        <w:widowControl w:val="off"/>
      </w:pPr>
      <w:r>
        <w:t xml:space="preserve">ОКАТО 93401000000 </w:t>
      </w:r>
      <w:r/>
    </w:p>
    <w:p>
      <w:pPr>
        <w:ind w:firstLine="567"/>
        <w:jc w:val="both"/>
        <w:widowControl w:val="off"/>
      </w:pPr>
      <w:r>
        <w:t xml:space="preserve">ОКФС 16 ОКОПФ 12267 </w:t>
      </w:r>
      <w:r/>
    </w:p>
    <w:p>
      <w:pPr>
        <w:ind w:firstLine="567"/>
        <w:jc w:val="both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jc w:val="both"/>
        <w:widowControl w:val="off"/>
      </w:pPr>
      <w:r>
        <w:t xml:space="preserve">БИК 040407627</w:t>
      </w:r>
      <w:r/>
    </w:p>
    <w:p>
      <w:pPr>
        <w:ind w:firstLine="567"/>
        <w:jc w:val="both"/>
        <w:widowControl w:val="off"/>
      </w:pPr>
      <w:r>
        <w:t xml:space="preserve">к/с 30101810800000000627</w:t>
      </w:r>
      <w:r/>
    </w:p>
    <w:p>
      <w:pPr>
        <w:ind w:firstLine="567"/>
        <w:jc w:val="both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75"/>
        <w:numPr>
          <w:ilvl w:val="2"/>
          <w:numId w:val="3"/>
        </w:numPr>
        <w:ind w:left="0" w:firstLine="0"/>
        <w:jc w:val="both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случае принятия решения о предоставлении обеспечение исполнения обязательств по договору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гарантии, такая гарантия, а также гарант должны соответствовать следующим требованиям: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75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выборе участником закупки способа обеспечения исполнения договора в форме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 гарантии участник должен предоставить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независимую</w:t>
      </w:r>
      <w:r>
        <w:rPr>
          <w:rFonts w:ascii="Times New Roman" w:hAnsi="Times New Roman"/>
          <w:b w:val="0"/>
          <w:sz w:val="24"/>
          <w:szCs w:val="24"/>
        </w:rPr>
        <w:t xml:space="preserve"> гарантию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  <w:u w:val="single"/>
          <w:lang w:val="ru-RU" w:eastAsia="ru-RU"/>
        </w:rPr>
        <w:t xml:space="preserve">по форме, установленной разделом 5 «ОБРАЗЦЫ ФОРМ, ДЛЯ ЗАПОЛНЕНИЯ УЧАСТНИКАМИ ЗАКУПКИ»</w:t>
      </w:r>
      <w:r>
        <w:rPr>
          <w:rFonts w:ascii="Times New Roman" w:hAnsi="Times New Roman"/>
          <w:b w:val="0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94"/>
        <w:numPr>
          <w:ilvl w:val="0"/>
          <w:numId w:val="37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безусловной и безотзывной;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94"/>
        <w:numPr>
          <w:ilvl w:val="0"/>
          <w:numId w:val="37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календарных дней после планируемой да</w:t>
      </w:r>
      <w:r>
        <w:rPr>
          <w:color w:val="000000" w:themeColor="text1"/>
        </w:rPr>
        <w:t xml:space="preserve">ты исполнения контрагентом обязательств, обеспеченных независимой гарантией. В случае, когда срок исполнения обязательства по Договору превышает 1 год, по согласованию с Заказчиком, допускается предоставление независимой гарантии на часть указанного срока.</w:t>
      </w:r>
      <w:r>
        <w:rPr>
          <w:color w:val="000000" w:themeColor="text1"/>
        </w:rPr>
        <w:t xml:space="preserve"> В этом случае, срок действия независимой гарантии не должен быть менее 1 года с даты вступления ее в силу. При этом контрагент обязан обеспечить продление продлению либо замену такой независимой гарантии не позднее, чем за 60 дней до окончания срока ее де</w:t>
      </w:r>
      <w:r>
        <w:rPr>
          <w:color w:val="000000" w:themeColor="text1"/>
        </w:rPr>
        <w:t xml:space="preserve">йствия. В случае заключения долгосрочного (на срок более 1 года) договора, предусматривающего ежегодное согласование объема 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 w:themeColor="text1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 w:themeColor="text1"/>
          <w:lang w:eastAsia="en-US"/>
        </w:rPr>
        <w:t xml:space="preserve">по отдельности для каждого из этапов</w:t>
      </w:r>
      <w:r>
        <w:rPr>
          <w:color w:val="000000" w:themeColor="text1"/>
        </w:rPr>
        <w:t xml:space="preserve"> </w:t>
      </w:r>
      <w:r>
        <w:rPr>
          <w:bCs/>
          <w:color w:val="000000" w:themeColor="text1"/>
          <w:lang w:eastAsia="en-US"/>
        </w:rPr>
        <w:t xml:space="preserve">(единицы, партии продукции) </w:t>
      </w:r>
      <w:r>
        <w:rPr>
          <w:color w:val="000000" w:themeColor="text1"/>
        </w:rPr>
        <w:t xml:space="preserve">допускается только в случае одновременного соблюдения следующих условий:</w:t>
      </w:r>
      <w:r>
        <w:rPr>
          <w:color w:val="000000" w:themeColor="text1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 w:themeColor="text1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94"/>
        <w:numPr>
          <w:ilvl w:val="0"/>
          <w:numId w:val="37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5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  <w:r>
        <w:rPr>
          <w:bCs/>
        </w:rPr>
      </w:r>
    </w:p>
    <w:p>
      <w:pPr>
        <w:pStyle w:val="894"/>
        <w:numPr>
          <w:ilvl w:val="0"/>
          <w:numId w:val="41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90"/>
        <w:gridCol w:w="2094"/>
        <w:gridCol w:w="1794"/>
        <w:gridCol w:w="2292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1039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492"/>
        <w:gridCol w:w="2493"/>
        <w:gridCol w:w="2292"/>
        <w:gridCol w:w="2493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  <w:r>
        <w:rPr>
          <w:i/>
          <w:sz w:val="22"/>
        </w:rPr>
      </w:r>
    </w:p>
    <w:p>
      <w:pPr>
        <w:pStyle w:val="875"/>
        <w:numPr>
          <w:ilvl w:val="3"/>
          <w:numId w:val="3"/>
        </w:numPr>
        <w:ind w:left="0" w:firstLine="360"/>
        <w:jc w:val="both"/>
        <w:keepNext w:val="0"/>
        <w:spacing w:before="0" w:after="0"/>
        <w:widowControl w:val="off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894"/>
        <w:numPr>
          <w:ilvl w:val="4"/>
          <w:numId w:val="3"/>
        </w:numPr>
        <w:ind w:left="0" w:firstLine="567"/>
        <w:jc w:val="both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  <w:r>
        <w:rPr>
          <w:bCs/>
        </w:rPr>
      </w:r>
    </w:p>
    <w:p>
      <w:pPr>
        <w:pStyle w:val="1247"/>
        <w:numPr>
          <w:ilvl w:val="4"/>
          <w:numId w:val="3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  <w:r>
        <w:rPr>
          <w:bCs w:val="0"/>
          <w:szCs w:val="24"/>
          <w:u w:val="single"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8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9"/>
        </w:numPr>
        <w:ind w:left="0"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rPr>
          <w:bCs/>
        </w:rP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  <w:r>
        <w:rPr>
          <w:bCs/>
        </w:rPr>
      </w:r>
    </w:p>
    <w:p>
      <w:pPr>
        <w:ind w:firstLine="567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0"/>
        </w:numPr>
        <w:ind w:left="0" w:firstLine="567"/>
        <w:jc w:val="both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  <w:r>
        <w:rPr>
          <w:bCs/>
        </w:rPr>
      </w:r>
    </w:p>
    <w:p>
      <w:pPr>
        <w:pStyle w:val="875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u w:val="single"/>
        </w:rPr>
      </w:pPr>
      <w:r>
        <w:rPr>
          <w:rFonts w:ascii="Times New Roman" w:hAnsi="Times New Roman"/>
          <w:b w:val="0"/>
          <w:bCs w:val="0"/>
          <w:sz w:val="24"/>
          <w:szCs w:val="24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/>
          <w:b w:val="0"/>
          <w:bCs w:val="0"/>
          <w:u w:val="single"/>
        </w:rPr>
      </w:r>
      <w:r>
        <w:rPr>
          <w:rFonts w:ascii="Times New Roman" w:hAnsi="Times New Roman"/>
          <w:b w:val="0"/>
          <w:bCs w:val="0"/>
          <w:u w:val="single"/>
        </w:rPr>
      </w:r>
    </w:p>
    <w:p>
      <w:pPr>
        <w:pStyle w:val="1247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форма банковской отчетности по РСБУ № 808</w:t>
      </w:r>
      <w:r>
        <w:rPr>
          <w:b w:val="0"/>
          <w:szCs w:val="24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7" w:tooltip="http://www.cbr.ru/credit/" w:history="1">
        <w:r>
          <w:rPr>
            <w:b w:val="0"/>
            <w:szCs w:val="24"/>
          </w:rPr>
          <w:t xml:space="preserve">http://www.cbr.ru/credit/</w:t>
        </w:r>
      </w:hyperlink>
      <w:r>
        <w:rPr>
          <w:b w:val="0"/>
          <w:szCs w:val="24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jc w:val="both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pStyle w:val="875"/>
        <w:numPr>
          <w:ilvl w:val="4"/>
          <w:numId w:val="3"/>
        </w:numPr>
        <w:ind w:left="0" w:firstLine="567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Иные документы по запросу Заказчика.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З</w:t>
      </w:r>
      <w:r>
        <w:t xml:space="preserve">аявке на участие в запросе цен, в которой содержится наименьшее ценовое предложение, присваивается первый номер. 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Победителем запроса цен по результатам предварительного отбора признается участник, заявка которого соответствует требованиям, установленным извещением о закупке, и ценовое предложение которого содержит минимальную стоимость. </w:t>
      </w:r>
      <w:r>
        <w:rPr>
          <w:b/>
        </w:rPr>
        <w:t xml:space="preserve">Для целей оценки заявок по ценовому критерию применяются ценовые предложения участников закупки без НДС.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Если</w:t>
      </w:r>
      <w:r>
        <w:t xml:space="preserve">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</w:t>
      </w:r>
      <w:r>
        <w:t xml:space="preserve">закупки (единственного участника закупки, соответствующего требованиям извещения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Закупочная комиссия отклоняет участника </w:t>
      </w:r>
      <w:r>
        <w:t xml:space="preserve">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</w:t>
      </w:r>
      <w:r>
        <w:t xml:space="preserve"> закупки и (или) заявка участника закупки не соответствуют требованиям, установленным в извещении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5" w:name="_Ref166158219"/>
      <w:r>
        <w:t xml:space="preserve">Заказчик вправе отменить закупку в любое время до подписания договора</w:t>
      </w:r>
      <w:bookmarkEnd w:id="5"/>
      <w:r>
        <w:t xml:space="preserve">. Решение об отмене закупки размещается Заказчиком в ЕИС в день принятия этого решения.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заключения договора, отказ от заключения договора, изменение и расторжение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6" w:name="_Toc354408457"/>
      <w:r>
        <w:t xml:space="preserve">Договор по результатам закупки заключается на условиях, которые предусмотрены проектом договора, извещением о закупке и</w:t>
      </w:r>
      <w:r>
        <w:rPr>
          <w:b/>
        </w:rPr>
        <w:t xml:space="preserve"> </w:t>
      </w:r>
      <w:r>
        <w:t xml:space="preserve">заявкой участника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В указанном случае порядок выбора нескольких победителей должен быть установлен в разделе </w:t>
      </w:r>
      <w:r>
        <w:fldChar w:fldCharType="begin"/>
      </w:r>
      <w:r>
        <w:instrText xml:space="preserve"> REF _Ref536541397 \r \h  \* MERGEFORMAT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настоящего извещения о закупке.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(подписывается) только после п</w:t>
      </w:r>
      <w:r>
        <w:t xml:space="preserve">редоставления участником закупки, с которым заключается договор, обеспечения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по результатам закупки заключается в срок не более 20 (двадц</w:t>
      </w:r>
      <w:r>
        <w:t xml:space="preserve">ати) дней с даты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</w:t>
      </w:r>
      <w:r>
        <w:t xml:space="preserve">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дней с момента принятия соответствующего решения (одобрения, вынесения решения по жалобе, иску).</w:t>
      </w:r>
      <w:bookmarkEnd w:id="6"/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Договор по результатам закупки может быть заключен с использованием программно-аппаратных средств ЭП или в иной форме, предусмотренной действующим законодательством. Выбор способа заключения договора по результатам закупки осуществляется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с использованием программно-аппаратных средств ЭП</w:t>
      </w:r>
      <w:r>
        <w:t xml:space="preserve">, Заказчик направляет подписанный электронной подписью с использованием программно-аппаратных средств </w:t>
      </w:r>
      <w:r>
        <w:t xml:space="preserve">ЭП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при условии, что участником закупки, с которым заключается </w:t>
      </w:r>
      <w:r>
        <w:t xml:space="preserve">договор, предоставлено обеспечение исполнения обязательств по договору (в случае, если в извещении о закупке установлены требования обеспечения исполнения договора и срок его предоставления до заключения договора). Участник подписывает электронной подписью</w:t>
      </w:r>
      <w:r>
        <w:t xml:space="preserve"> проект договора в течение 3 (трех) рабочих дней с даты направления ему проекта договора, подписанного Заказчиком. Договор должен быть подписан электронной подписью лиц, имеющих право действовать от имени участника такой закупки и Заказчика соответственно.</w:t>
      </w:r>
      <w:r/>
    </w:p>
    <w:p>
      <w:pPr>
        <w:numPr>
          <w:ilvl w:val="1"/>
          <w:numId w:val="3"/>
        </w:numPr>
        <w:ind w:left="0" w:firstLine="0"/>
        <w:jc w:val="both"/>
      </w:pPr>
      <w:r>
        <w:rPr>
          <w:u w:val="single"/>
        </w:rPr>
        <w:t xml:space="preserve">При выборе Заказчиком способа заключения договора в иной форме</w:t>
      </w:r>
      <w:r>
        <w:t xml:space="preserve">, Заказчик направляет участнику закупки на адрес, указанный в заявке такого уч</w:t>
      </w:r>
      <w:r>
        <w:t xml:space="preserve">астника (путем направления электронного документа, либо путем направления бумажной версии документа), подписанный со своей стороны проект договора в течение 2 (двух) рабочих дней с даты согласования проекта договора в соответствии с порядком, установленным</w:t>
      </w:r>
      <w:r>
        <w:t xml:space="preserve"> внутренними организационно-распорядительными документами Заказчика,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 установлены требова</w:t>
      </w:r>
      <w:r>
        <w:t xml:space="preserve">ния обеспечения исполнения договора и срок его предоставления до заключения договора). Участник подписывает проект договора и направляет его в адрес Заказчика в течение 3 (трех) рабочих дней с даты направления ему проекта договора, подписанного Заказчиком.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наличия разногласий по проекту договора, направленному Заказчиком, участник, с которым заключается договор, составляет протокол разногласий, с указанием замечаний к положениям проекта</w:t>
      </w:r>
      <w:r>
        <w:t xml:space="preserve"> договора, не соответствующим извещению о закупке и своей заявке, с указанием соответствующих положений данных документов. Протокол разногласий направляется Заказчику (в случае заключения договора с использованием программно-аппаратных средств ЭП – направл</w:t>
      </w:r>
      <w:r>
        <w:t xml:space="preserve">яется через ЭП)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</w:t>
      </w:r>
      <w: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</w:t>
      </w:r>
      <w:r>
        <w:t xml:space="preserve">ния договора, если Заказчик или Закупочная комиссия обнаружит, что участник закупки не соответствует требованиям, установленным в извещении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1"/>
          <w:numId w:val="3"/>
        </w:numPr>
        <w:ind w:left="0" w:firstLine="0"/>
        <w:jc w:val="both"/>
      </w:pPr>
      <w:r/>
      <w:bookmarkStart w:id="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7"/>
      <w:r/>
      <w:r/>
    </w:p>
    <w:p>
      <w:pPr>
        <w:numPr>
          <w:ilvl w:val="0"/>
          <w:numId w:val="6"/>
        </w:numPr>
        <w:ind w:left="0" w:firstLine="426"/>
        <w:jc w:val="both"/>
      </w:pPr>
      <w: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/>
    </w:p>
    <w:p>
      <w:pPr>
        <w:numPr>
          <w:ilvl w:val="0"/>
          <w:numId w:val="6"/>
        </w:numPr>
        <w:ind w:left="0" w:firstLine="426"/>
        <w:jc w:val="both"/>
        <w:rPr>
          <w:smallCaps/>
        </w:rPr>
      </w:pPr>
      <w:r>
        <w:t xml:space="preserve">непредоставления или предоставление с нарушением услови</w:t>
      </w:r>
      <w:r>
        <w:t xml:space="preserve">й, установленных действующим законодательством, до заключения договора Заказчику обеспечения исполнения договора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</w:rPr>
      </w:r>
      <w:r>
        <w:rPr>
          <w:smallCaps/>
        </w:rPr>
      </w:r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1"/>
          <w:numId w:val="3"/>
        </w:numPr>
        <w:ind w:left="0" w:firstLine="0"/>
        <w:jc w:val="both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Договор исполняется в соотв</w:t>
      </w:r>
      <w: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/>
      <w:bookmarkStart w:id="8" w:name="_Ref119429963"/>
      <w:r>
        <w:t xml:space="preserve">При исполн</w:t>
      </w:r>
      <w: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b/>
          <w:bCs/>
        </w:rPr>
      </w:r>
      <w:r>
        <w:rPr>
          <w:b/>
          <w:bCs/>
        </w:rPr>
      </w:r>
    </w:p>
    <w:p>
      <w:pPr>
        <w:pStyle w:val="875"/>
        <w:numPr>
          <w:ilvl w:val="1"/>
          <w:numId w:val="3"/>
        </w:numPr>
        <w:ind w:left="0" w:firstLine="0"/>
        <w:keepNext w:val="0"/>
        <w:spacing w:before="0" w:after="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При исполнении договора не допускается: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084"/>
        <w:numPr>
          <w:ilvl w:val="0"/>
          <w:numId w:val="42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4"/>
        <w:numPr>
          <w:ilvl w:val="0"/>
          <w:numId w:val="42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 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4"/>
        <w:numPr>
          <w:ilvl w:val="0"/>
          <w:numId w:val="42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</w:t>
      </w:r>
      <w:r>
        <w:rPr>
          <w:sz w:val="24"/>
          <w:szCs w:val="24"/>
        </w:rPr>
        <w:t xml:space="preserve">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4"/>
        <w:numPr>
          <w:ilvl w:val="0"/>
          <w:numId w:val="42"/>
        </w:numPr>
        <w:ind w:left="0" w:firstLine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"/>
        </w:numPr>
        <w:ind w:left="0" w:firstLine="0"/>
        <w:jc w:val="both"/>
        <w:rPr>
          <w:b/>
          <w:bCs/>
        </w:rPr>
      </w:pPr>
      <w: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0" w:leader="none"/>
        </w:tabs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ОБРАЗЦЫ ФОРМ, ДЛЯ ЗАПОЛНЕНИЯ УЧАСТНИКАМИ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r/>
      <w:r/>
    </w:p>
    <w:p>
      <w:pPr>
        <w:pStyle w:val="1055"/>
        <w:jc w:val="center"/>
        <w:spacing w:before="0" w:after="6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Форма 1. Заявка на участие в запросе ЦЕН по результатам предварительного отбора</w:t>
      </w:r>
      <w:r>
        <w:rPr>
          <w:bCs/>
          <w:caps/>
          <w:sz w:val="24"/>
          <w:szCs w:val="24"/>
        </w:rPr>
      </w:r>
      <w:r>
        <w:rPr>
          <w:bCs/>
          <w:caps/>
          <w:sz w:val="24"/>
          <w:szCs w:val="24"/>
        </w:rPr>
      </w:r>
    </w:p>
    <w:p>
      <w:pPr>
        <w:jc w:val="both"/>
        <w:tabs>
          <w:tab w:val="left" w:pos="7088" w:leader="none"/>
        </w:tabs>
      </w:pPr>
      <w:r/>
      <w:r/>
    </w:p>
    <w:p>
      <w:pPr>
        <w:jc w:val="center"/>
        <w:rPr>
          <w:b/>
        </w:rPr>
      </w:pPr>
      <w:r>
        <w:rPr>
          <w:b/>
        </w:rPr>
        <w:t xml:space="preserve">Заявка на участие в запросе цен по результатам предварительного отбора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spacing w:after="120"/>
      </w:pPr>
      <w:r>
        <w:t xml:space="preserve">Изучив извещение о проведении запроса цен по результатам предварительного отбора № _______________ от «__» _______ 20__ </w:t>
      </w:r>
      <w:r>
        <w:rPr>
          <w:i/>
          <w:iCs/>
        </w:rPr>
        <w:t xml:space="preserve">(указывается номер извещения о проведении запроса цен на официальном сайте Единой информационной системы),</w:t>
      </w:r>
      <w:r>
        <w:t xml:space="preserve"> настоящим ___________ </w:t>
      </w:r>
      <w:r>
        <w:rPr>
          <w:i/>
        </w:rPr>
        <w:t xml:space="preserve">(указать наименование участника закупки)</w:t>
      </w:r>
      <w:r>
        <w:t xml:space="preserve"> выражает согласие исполнить все приведенные в нем условия договора.</w:t>
      </w:r>
      <w:r/>
    </w:p>
    <w:p>
      <w:pPr>
        <w:ind w:firstLine="567"/>
        <w:jc w:val="both"/>
      </w:pPr>
      <w:r>
        <w:rPr>
          <w:b/>
          <w:bCs/>
        </w:rPr>
        <w:t xml:space="preserve">1. </w:t>
      </w:r>
      <w:r>
        <w:rPr>
          <w:bCs/>
        </w:rPr>
        <w:t xml:space="preserve">Предложение о цене договора содержится в Сводной таблице стоимости поставок, работ (услуг), при этом п</w:t>
      </w:r>
      <w:r>
        <w:rPr>
          <w:bCs/>
          <w:iCs/>
        </w:rPr>
        <w:t xml:space="preserve">редлагаемая цена </w:t>
      </w:r>
      <w:r>
        <w:t xml:space="preserve">договора не превышает начальную (максимальную) цену договора, установлен</w:t>
      </w:r>
      <w:r>
        <w:t xml:space="preserve">ную в извещении о закупке (начальную (максимальную) цену единицы товара, работы, услуги, установленную в извещении о закупке - если такое требование установлено в извещении о закупке) и включает в себя: все затраты, накладные расходы, налоги, пошлины, тамо</w:t>
      </w:r>
      <w:r>
        <w:t xml:space="preserve">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Условия оплаты соответствуют проекту договора, размещенному в извещении о закупке.</w:t>
      </w:r>
      <w:r/>
    </w:p>
    <w:p>
      <w:pPr>
        <w:ind w:firstLine="567"/>
        <w:jc w:val="both"/>
        <w:rPr>
          <w:bCs/>
          <w:iCs/>
        </w:rPr>
      </w:pPr>
      <w:r>
        <w:rPr>
          <w:bCs/>
          <w:iCs/>
        </w:rPr>
      </w:r>
      <w:r>
        <w:rPr>
          <w:bCs/>
          <w:iCs/>
        </w:rPr>
      </w:r>
      <w:r>
        <w:rPr>
          <w:bCs/>
          <w:iCs/>
        </w:rPr>
      </w:r>
    </w:p>
    <w:p>
      <w:pPr>
        <w:ind w:firstLine="567"/>
        <w:jc w:val="both"/>
        <w:rPr>
          <w:b/>
        </w:rPr>
      </w:pPr>
      <w:r>
        <w:rPr>
          <w:b/>
        </w:rPr>
        <w:t xml:space="preserve">2. </w:t>
      </w:r>
      <w:r>
        <w:rPr>
          <w:b/>
          <w:bCs/>
        </w:rPr>
        <w:t xml:space="preserve">Согласие участника закупки исполнить условия договора в соответствии с извещением о закупке.</w:t>
      </w:r>
      <w:r>
        <w:rPr>
          <w:b/>
        </w:rPr>
      </w:r>
      <w:r>
        <w:rPr>
          <w:b/>
        </w:rPr>
      </w:r>
    </w:p>
    <w:p>
      <w:pPr>
        <w:ind w:firstLine="567"/>
        <w:jc w:val="both"/>
      </w:pPr>
      <w:r>
        <w:t xml:space="preserve">Изучив извещение о проведении запроса цен ___________ </w:t>
      </w:r>
      <w:r>
        <w:rPr>
          <w:i/>
        </w:rPr>
        <w:t xml:space="preserve">(указать наименование участника закупки)</w:t>
      </w:r>
      <w:r>
        <w:t xml:space="preserve"> настоящим выражает согласие исполнить все приведенные в нем условия договора в соответствии с Техническим предложением (приложение к настоящей заявке), в том числе: </w:t>
      </w:r>
      <w:r/>
    </w:p>
    <w:p>
      <w:pPr>
        <w:ind w:firstLine="540"/>
        <w:jc w:val="both"/>
        <w:spacing w:after="60"/>
        <w:tabs>
          <w:tab w:val="left" w:pos="1080" w:leader="none"/>
        </w:tabs>
        <w:rPr>
          <w:rStyle w:val="1245"/>
          <w:i w:val="0"/>
          <w:sz w:val="24"/>
        </w:rPr>
      </w:pPr>
      <w:r>
        <w:rPr>
          <w:rStyle w:val="1245"/>
          <w:sz w:val="24"/>
        </w:rPr>
        <w:t xml:space="preserve">Далее указывается необходимое согласие (в зависимости от предмета договора)</w:t>
      </w:r>
      <w:r>
        <w:rPr>
          <w:rStyle w:val="1245"/>
          <w:i w:val="0"/>
          <w:sz w:val="24"/>
        </w:rPr>
      </w:r>
      <w:r>
        <w:rPr>
          <w:rStyle w:val="1245"/>
          <w:i w:val="0"/>
          <w:sz w:val="24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выполнить работы (или оказать услуги), указанные в извещении закупке, на условиях, предусмотренных проектом договора;</w:t>
      </w:r>
      <w:r/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  <w:rPr>
          <w:rStyle w:val="1245"/>
          <w:sz w:val="24"/>
          <w:lang w:val="en-US"/>
        </w:rPr>
      </w:pPr>
      <w:r>
        <w:t xml:space="preserve">- поставить товар, который указан в извещении о закупке </w:t>
      </w:r>
      <w:r>
        <w:rPr>
          <w:rStyle w:val="1245"/>
          <w:sz w:val="24"/>
        </w:rPr>
        <w:t xml:space="preserve">(в отношении которого в таком извещении в соответствии с требованиями, установленными п. 7.1.4. Стандарта содержится указание на товарный знак, на условиях, предусмотренных проектом договора и не подлежащих изменению по результатам проведения запроса цен);</w:t>
      </w:r>
      <w:r>
        <w:rPr>
          <w:rStyle w:val="1245"/>
          <w:sz w:val="24"/>
          <w:lang w:val="en-US"/>
        </w:rPr>
      </w:r>
      <w:r>
        <w:rPr>
          <w:rStyle w:val="1245"/>
          <w:sz w:val="24"/>
          <w:lang w:val="en-US"/>
        </w:rPr>
      </w:r>
    </w:p>
    <w:p>
      <w:pPr>
        <w:ind w:firstLine="567"/>
        <w:jc w:val="both"/>
        <w:widowControl w:val="off"/>
        <w:tabs>
          <w:tab w:val="num" w:pos="0" w:leader="none"/>
        </w:tabs>
      </w:pPr>
      <w:r/>
      <w:r/>
    </w:p>
    <w:p>
      <w:pPr>
        <w:ind w:firstLine="567"/>
        <w:jc w:val="both"/>
        <w:widowControl w:val="off"/>
        <w:tabs>
          <w:tab w:val="num" w:pos="0" w:leader="none"/>
        </w:tabs>
      </w:pPr>
      <w:r>
        <w:t xml:space="preserve">- поставить товар, который указан в извещении о закупке и конкретные показатели которого соответствуют значениям эквивалентности, установленным данным извещением </w:t>
      </w:r>
      <w:r>
        <w:rPr>
          <w:rStyle w:val="1245"/>
          <w:sz w:val="24"/>
        </w:rPr>
        <w:t xml:space="preserve">(в случае, если участник запроса цен предлагает поставку товара, который является эквивалентным товару, указанному в таком извещении),</w:t>
      </w:r>
      <w:r>
        <w:t xml:space="preserve"> на условиях, предусмотренных проектом договора.</w:t>
      </w:r>
      <w:r/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  <w:rPr>
          <w:b/>
        </w:rPr>
      </w:pPr>
      <w:r>
        <w:rPr>
          <w:b/>
        </w:rPr>
        <w:t xml:space="preserve">3. Статус заявки и декларация соответствия требованиями извещения о закупке.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67"/>
        <w:jc w:val="both"/>
        <w:tabs>
          <w:tab w:val="left" w:pos="1080" w:leader="none"/>
        </w:tabs>
      </w:pPr>
      <w:r>
        <w:t xml:space="preserve">- Заказчик оставляет за собой право принять или отклонить любую заявку в соответствии с условиями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При подаче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9"/>
        </w:numPr>
        <w:ind w:left="0" w:firstLine="567"/>
        <w:jc w:val="both"/>
        <w:widowControl w:val="off"/>
        <w:tabs>
          <w:tab w:val="left" w:pos="1080" w:leader="none"/>
        </w:tabs>
      </w:pPr>
      <w:r>
        <w:t xml:space="preserve">заключить договор в порядке и на условиях, установленных в извещении о закупке порядке, в случае признания 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участником, предложившим наилучшую заявку, либо единственным участником, соответствующим требованиям извещения о закупке.</w:t>
      </w:r>
      <w:r/>
    </w:p>
    <w:p>
      <w:pPr>
        <w:ind w:firstLine="567"/>
        <w:jc w:val="both"/>
        <w:tabs>
          <w:tab w:val="left" w:pos="1080" w:leader="none"/>
        </w:tabs>
      </w:pPr>
      <w:r/>
      <w:r/>
    </w:p>
    <w:p>
      <w:pPr>
        <w:ind w:firstLine="567"/>
        <w:jc w:val="both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полностью удовлетворяет требованиям к участникам закупки и в частности: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</w:t>
      </w:r>
      <w:r>
        <w:rPr>
          <w:i/>
        </w:rPr>
        <w:t xml:space="preserve">(заполняется в случае подачи заявки физическим лицом)</w:t>
      </w:r>
      <w:r>
        <w:t xml:space="preserve">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является субъектом малого и среднего предпринимательства, в соответствии с критериями, установленными требованиями действующего законодательства;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в процессе ликвидации, не имеет вступившего в законную силу решения арбитражного суда о признании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банкротом и об открытии конкурсного производства, на имущество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наложен арест, экономическая деятельность ________________________ </w:t>
      </w:r>
      <w:r>
        <w:rPr>
          <w:i/>
        </w:rPr>
        <w:t xml:space="preserve">(указывается наименование участника закупки)</w:t>
      </w:r>
      <w:r>
        <w:t xml:space="preserve"> не приостановлена.</w:t>
      </w:r>
      <w:r/>
    </w:p>
    <w:p>
      <w:pPr>
        <w:ind w:firstLine="567"/>
        <w:jc w:val="both"/>
        <w:widowControl w:val="off"/>
        <w:rPr>
          <w:rFonts w:eastAsia="Arial Unicode MS"/>
          <w:sz w:val="22"/>
          <w:szCs w:val="22"/>
        </w:rPr>
      </w:pPr>
      <w:r>
        <w:t xml:space="preserve">- </w:t>
      </w:r>
      <w:r>
        <w:rPr>
          <w:rFonts w:eastAsia="Arial Unicode MS"/>
        </w:rPr>
        <w:t xml:space="preserve"> отсутствуют </w:t>
      </w:r>
      <w: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r>
        <w:rPr>
          <w:rStyle w:val="1036"/>
          <w:color w:val="000000"/>
        </w:rPr>
        <w:t xml:space="preserve">законодательством</w:t>
      </w:r>
      <w:r>
        <w:t xml:space="preserve"> Российской Федерации о налогах и сборах, которые реструк</w:t>
      </w:r>
      <w:r>
        <w:t xml:space="preserve">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r>
        <w:rPr>
          <w:rStyle w:val="1036"/>
          <w:color w:val="000000"/>
        </w:rPr>
        <w:t xml:space="preserve">законодательством</w:t>
      </w:r>
      <w:r>
        <w:t xml:space="preserve"> Российской Федерации о налог</w:t>
      </w:r>
      <w:r>
        <w:t xml:space="preserve">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</w:t>
      </w:r>
      <w:r>
        <w:t xml:space="preserve">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>
        <w:rPr>
          <w:rFonts w:eastAsia="Arial Unicode MS"/>
        </w:rPr>
        <w:t xml:space="preserve">;</w:t>
      </w:r>
      <w:r>
        <w:rPr>
          <w:rFonts w:eastAsia="Arial Unicode MS"/>
          <w:sz w:val="22"/>
          <w:szCs w:val="22"/>
        </w:rPr>
      </w:r>
      <w:r>
        <w:rPr>
          <w:rFonts w:eastAsia="Arial Unicode MS"/>
          <w:sz w:val="22"/>
          <w:szCs w:val="22"/>
        </w:rPr>
      </w:r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8"/>
        </w:numPr>
        <w:ind w:left="0" w:firstLine="567"/>
        <w:jc w:val="both"/>
        <w:widowControl w:val="off"/>
        <w:tabs>
          <w:tab w:val="num" w:pos="1080" w:leader="none"/>
          <w:tab w:val="num" w:pos="1620" w:leader="none"/>
        </w:tabs>
      </w:pPr>
      <w:r/>
      <w:bookmarkStart w:id="9" w:name="_Ref305883131"/>
      <w:r>
        <w:rPr>
          <w:bCs/>
        </w:rPr>
        <w:t xml:space="preserve">не включен в </w:t>
      </w:r>
      <w:r>
        <w:rPr>
          <w:rFonts w:eastAsia="Arial Unicode MS"/>
          <w:bCs/>
        </w:rPr>
        <w:t xml:space="preserve">Реестр</w:t>
      </w:r>
      <w:r>
        <w:rPr>
          <w:bCs/>
        </w:rPr>
        <w:t xml:space="preserve"> недобросовестных поставщиков</w:t>
      </w:r>
      <w:r>
        <w:rPr>
          <w:rFonts w:eastAsia="Arial Unicode MS"/>
          <w:bCs/>
        </w:rPr>
        <w:t xml:space="preserve"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>
        <w:rPr>
          <w:bCs/>
        </w:rPr>
        <w:t xml:space="preserve"> 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</w:t>
      </w:r>
      <w:bookmarkEnd w:id="9"/>
      <w:r>
        <w:rPr>
          <w:rFonts w:eastAsia="Arial Unicode MS"/>
          <w:bCs/>
        </w:rPr>
        <w:t xml:space="preserve">№ 44-ФЗ от 05.04.2013 года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left="567"/>
        <w:jc w:val="both"/>
        <w:widowControl w:val="off"/>
        <w:tabs>
          <w:tab w:val="num" w:pos="1080" w:leader="none"/>
          <w:tab w:val="num" w:pos="1620" w:leader="none"/>
        </w:tabs>
      </w:pPr>
      <w:r/>
      <w:r/>
    </w:p>
    <w:p>
      <w:pPr>
        <w:ind w:firstLine="540"/>
        <w:jc w:val="both"/>
        <w:tabs>
          <w:tab w:val="left" w:pos="1080" w:leader="none"/>
        </w:tabs>
      </w:pPr>
      <w:r>
        <w:t xml:space="preserve">В соответствии с извещением о закупки, информация о соответствии требованиям извещения о закупки, а также информация по сути наших предложений в данной закупке представлена в следующих документах, которые являются неотъемлемой частью заявки.</w:t>
      </w:r>
      <w:r/>
    </w:p>
    <w:p>
      <w:pPr>
        <w:ind w:firstLine="56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567"/>
        <w:rPr>
          <w:bCs/>
        </w:rPr>
      </w:pPr>
      <w:r>
        <w:rPr>
          <w:bCs/>
        </w:rPr>
        <w:t xml:space="preserve">Приложения:</w:t>
      </w:r>
      <w:r>
        <w:rPr>
          <w:bCs/>
        </w:rPr>
      </w:r>
      <w:r>
        <w:rPr>
          <w:bCs/>
        </w:rPr>
      </w:r>
    </w:p>
    <w:p>
      <w:pPr>
        <w:pStyle w:val="1089"/>
        <w:numPr>
          <w:ilvl w:val="0"/>
          <w:numId w:val="7"/>
        </w:numPr>
        <w:contextualSpacing/>
        <w:ind w:left="567" w:firstLine="567"/>
        <w:jc w:val="both"/>
      </w:pPr>
      <w:r>
        <w:rPr>
          <w:i/>
          <w:lang w:val="ru-RU"/>
        </w:rPr>
        <w:t xml:space="preserve">Сводная таблица стоимости поставок, работ (услуг)</w:t>
      </w:r>
      <w:r/>
    </w:p>
    <w:p>
      <w:pPr>
        <w:pStyle w:val="1089"/>
        <w:numPr>
          <w:ilvl w:val="0"/>
          <w:numId w:val="7"/>
        </w:numPr>
        <w:contextualSpacing/>
        <w:ind w:left="567" w:firstLine="567"/>
        <w:jc w:val="both"/>
      </w:pPr>
      <w:r>
        <w:rPr>
          <w:i/>
        </w:rPr>
        <w:t xml:space="preserve">Техническое предложение</w:t>
      </w:r>
      <w:r/>
    </w:p>
    <w:p>
      <w:pPr>
        <w:pStyle w:val="1089"/>
        <w:numPr>
          <w:ilvl w:val="0"/>
          <w:numId w:val="7"/>
        </w:numPr>
        <w:contextualSpacing/>
        <w:ind w:left="567" w:firstLine="567"/>
        <w:jc w:val="both"/>
      </w:pPr>
      <w:r>
        <w:t xml:space="preserve">…</w:t>
      </w:r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</w:pPr>
      <w:r/>
      <w:r/>
    </w:p>
    <w:p>
      <w:pPr>
        <w:ind w:firstLine="567"/>
        <w:jc w:val="both"/>
      </w:pPr>
      <w:r>
        <w:t xml:space="preserve">Участник запроса цен _______________</w:t>
      </w:r>
      <w:r>
        <w:rPr>
          <w:i/>
          <w:iCs/>
        </w:rPr>
        <w:t xml:space="preserve"> </w:t>
      </w:r>
      <w:r>
        <w:rPr>
          <w:i/>
        </w:rPr>
        <w:t xml:space="preserve">(наименование участника)</w:t>
      </w:r>
      <w:r/>
    </w:p>
    <w:p>
      <w:pPr>
        <w:ind w:firstLine="567"/>
        <w:jc w:val="both"/>
      </w:pPr>
      <w:r>
        <w:t xml:space="preserve">Подпись, расшифровка подписи _______________</w:t>
      </w:r>
      <w:r/>
    </w:p>
    <w:p>
      <w:pPr>
        <w:ind w:firstLine="567"/>
        <w:jc w:val="both"/>
      </w:pPr>
      <w:r>
        <w:t xml:space="preserve">Печать (при наличии)</w:t>
      </w:r>
      <w:r/>
    </w:p>
    <w:p>
      <w:pPr>
        <w:ind w:firstLine="567"/>
        <w:jc w:val="both"/>
      </w:pPr>
      <w:r/>
      <w:r/>
    </w:p>
    <w:p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43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43"/>
        </w:numPr>
        <w:ind w:left="0" w:firstLine="567"/>
        <w:jc w:val="both"/>
        <w:tabs>
          <w:tab w:val="clear" w:pos="7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Заявка должна быть подписана и скреплена печатью (при наличии печати), если Участником закупки является юридическое лицо, индивидуальный пр</w:t>
      </w:r>
      <w:r>
        <w:rPr>
          <w:sz w:val="20"/>
          <w:szCs w:val="20"/>
        </w:rPr>
        <w:t xml:space="preserve">едприниматель. Если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заявке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  <w:sectPr>
          <w:footerReference w:type="default" r:id="rId12"/>
          <w:footerReference w:type="first" r:id="rId13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jc w:val="center"/>
        <w:spacing w:before="360"/>
        <w:widowControl w:val="off"/>
        <w:rPr>
          <w:b/>
          <w:lang w:val="en-US" w:eastAsia="en-US"/>
        </w:rPr>
        <w:outlineLvl w:val="1"/>
      </w:pPr>
      <w:r>
        <w:rPr>
          <w:b/>
          <w:lang w:val="en-US" w:eastAsia="en-US"/>
        </w:rPr>
        <w:t xml:space="preserve">ФОРМА </w:t>
      </w:r>
      <w:r>
        <w:rPr>
          <w:b/>
          <w:lang w:eastAsia="en-US"/>
        </w:rPr>
        <w:t xml:space="preserve">2.</w:t>
      </w:r>
      <w:r>
        <w:rPr>
          <w:b/>
          <w:lang w:val="en-US" w:eastAsia="en-US"/>
        </w:rPr>
        <w:t xml:space="preserve"> СВОДНАЯ ТАБЛИЦА СТОИМОСТИ ПОСТАВОК, РАБОТ (УСЛУГ)</w:t>
      </w:r>
      <w:r>
        <w:rPr>
          <w:b/>
          <w:lang w:val="en-US" w:eastAsia="en-US"/>
        </w:rPr>
      </w:r>
      <w:r>
        <w:rPr>
          <w:b/>
          <w:lang w:val="en-US" w:eastAsia="en-US"/>
        </w:rPr>
      </w:r>
    </w:p>
    <w:p>
      <w:pPr>
        <w:widowControl w:val="off"/>
      </w:pPr>
      <w:r/>
      <w:r/>
    </w:p>
    <w:p>
      <w:pPr>
        <w:ind w:right="34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widowControl w:val="off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5192" w:type="pct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357"/>
        <w:gridCol w:w="1024"/>
        <w:gridCol w:w="1542"/>
        <w:gridCol w:w="978"/>
        <w:gridCol w:w="950"/>
        <w:gridCol w:w="1200"/>
        <w:gridCol w:w="2134"/>
        <w:gridCol w:w="2094"/>
        <w:gridCol w:w="768"/>
        <w:gridCol w:w="774"/>
        <w:gridCol w:w="1110"/>
        <w:gridCol w:w="1082"/>
      </w:tblGrid>
      <w:tr>
        <w:tblPrEx/>
        <w:trPr>
          <w:trHeight w:val="939"/>
        </w:trPr>
        <w:tc>
          <w:tcPr>
            <w:tcW w:w="132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 п/п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-109" w:firstLine="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 xml:space="preserve">(</w:t>
            </w:r>
            <w:r>
              <w:rPr>
                <w:b/>
                <w:sz w:val="18"/>
                <w:szCs w:val="18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аналога*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-47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Единицы</w:t>
            </w:r>
            <w:r>
              <w:rPr>
                <w:b/>
                <w:sz w:val="18"/>
                <w:szCs w:val="18"/>
                <w:lang w:eastAsia="en-US"/>
              </w:rPr>
              <w:br w:type="textWrapping" w:clear="all"/>
              <w:t xml:space="preserve">измерения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Количество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-109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Общая цена, руб.,  без НДС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32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3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0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17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0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8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7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4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5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6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351" w:type="pct"/>
            <w:textDirection w:val="lrTb"/>
            <w:noWrap w:val="false"/>
          </w:tcPr>
          <w:p>
            <w:pPr>
              <w:ind w:right="34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разделом 7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jc w:val="both"/>
        <w:shd w:val="clear" w:color="ffffff" w:themeColor="background1" w:fill="ffffff" w:themeFill="background1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настоящим извещением о закупке и приложениями к нему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keepLines/>
        <w:keepNext/>
        <w:outlineLvl w:val="2"/>
      </w:pPr>
      <w:r/>
      <w:r/>
    </w:p>
    <w:p>
      <w:pPr>
        <w:ind w:right="34"/>
        <w:keepLines/>
        <w:keepNext/>
        <w:outlineLvl w:val="2"/>
      </w:pPr>
      <w:r>
        <w:t xml:space="preserve">М.П.  (Должность, подпись и ФИО уполномоченного представителя Участника) __________________________________________________</w:t>
      </w:r>
      <w:r/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34"/>
        </w:numPr>
        <w:ind w:left="0" w:right="34" w:firstLine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4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</w:rPr>
        <w:t xml:space="preserve">Участник указывает свое ф</w:t>
      </w:r>
      <w:r>
        <w:rPr>
          <w:sz w:val="20"/>
          <w:highlight w:val="white"/>
        </w:rPr>
        <w:t xml:space="preserve">ирменное наименование (в т.ч. организационно-правовую форму) и свой адрес.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4"/>
        </w:numPr>
        <w:ind w:left="0" w:right="34" w:firstLine="0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столбцах 2 и 3 в обязательном порядке размещаются все позиции и характеристики продукции, указанные в техническом</w:t>
      </w:r>
      <w:r>
        <w:rPr>
          <w:sz w:val="20"/>
          <w:highlight w:val="white"/>
        </w:rPr>
        <w:t xml:space="preserve"> задании. Если предлагаемая продукция и характеристики идентичны требуемым к поставке,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</w:t>
      </w:r>
      <w:r>
        <w:rPr>
          <w:sz w:val="20"/>
          <w:highlight w:val="white"/>
        </w:rPr>
        <w:t xml:space="preserve">. 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4"/>
        </w:numPr>
        <w:ind w:left="0" w:right="34" w:firstLine="0"/>
        <w:jc w:val="both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 xml:space="preserve"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 xml:space="preserve"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4"/>
        </w:numPr>
        <w:ind w:left="0" w:right="34" w:firstLine="0"/>
        <w:jc w:val="both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94"/>
        <w:ind w:left="0" w:firstLine="567"/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  <w:r>
        <w:rPr>
          <w:highlight w:val="white"/>
        </w:rPr>
      </w:r>
    </w:p>
    <w:p>
      <w:pPr>
        <w:pStyle w:val="894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94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94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94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089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24"/>
        </w:numPr>
        <w:ind w:left="0" w:right="34" w:firstLine="0"/>
        <w:jc w:val="both"/>
        <w:widowControl w:val="off"/>
        <w:tabs>
          <w:tab w:val="num" w:pos="284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связи в целях снижения общих затрат сил</w:t>
      </w:r>
      <w:r>
        <w:rPr>
          <w:sz w:val="20"/>
        </w:rPr>
        <w:t xml:space="preserve">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pStyle w:val="1055"/>
        <w:jc w:val="center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55"/>
        <w:jc w:val="center"/>
        <w:keepNext w:val="0"/>
        <w:spacing w:after="0"/>
        <w:widowControl w:val="off"/>
        <w:rPr>
          <w:sz w:val="24"/>
          <w:szCs w:val="24"/>
        </w:rPr>
      </w:pPr>
      <w:r/>
      <w:bookmarkStart w:id="10" w:name="_Toc536483690"/>
      <w:r/>
      <w:bookmarkStart w:id="11" w:name="_Toc536567158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3.</w:t>
      </w:r>
      <w:r>
        <w:rPr>
          <w:sz w:val="24"/>
          <w:szCs w:val="24"/>
        </w:rPr>
        <w:t xml:space="preserve"> ТЕХНИЧЕСКОЕ ПРЕДЛОЖЕНИЕ</w:t>
      </w:r>
      <w:bookmarkEnd w:id="10"/>
      <w:r/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2" w:name="_Toc298234710"/>
      <w:r/>
      <w:bookmarkStart w:id="13" w:name="_Toc255987072"/>
      <w:r/>
      <w:bookmarkStart w:id="14" w:name="_Toc307936260"/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5" w:name="_Toc536483691"/>
      <w:r/>
      <w:bookmarkStart w:id="16" w:name="_Toc536567159"/>
      <w:r>
        <w:rPr>
          <w:b/>
        </w:rPr>
        <w:t xml:space="preserve">Техническое предложение</w:t>
      </w:r>
      <w:bookmarkEnd w:id="12"/>
      <w:r/>
      <w:bookmarkEnd w:id="13"/>
      <w:r>
        <w:rPr>
          <w:b/>
        </w:rPr>
        <w:t xml:space="preserve"> </w:t>
      </w:r>
      <w:bookmarkEnd w:id="14"/>
      <w:r/>
      <w:bookmarkEnd w:id="15"/>
      <w:r/>
      <w:bookmarkEnd w:id="16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/>
      <w:bookmarkStart w:id="17" w:name="_Toc247081498"/>
      <w:r>
        <w:rPr>
          <w:b/>
        </w:rPr>
        <w:t xml:space="preserve">Способ и наименование закупки _______________________________________ </w:t>
      </w:r>
      <w:bookmarkEnd w:id="17"/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/>
      <w:bookmarkStart w:id="18" w:name="_Toc247081499"/>
      <w:r>
        <w:rPr>
          <w:b/>
          <w:i/>
        </w:rPr>
        <w:t xml:space="preserve">Суть технического предложения</w:t>
      </w:r>
      <w:bookmarkEnd w:id="18"/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/>
      <w:bookmarkStart w:id="19" w:name="_Toc247081501"/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/>
      <w:bookmarkStart w:id="20" w:name="_Toc247081500"/>
      <w:r>
        <w:rPr>
          <w:b/>
          <w:bCs/>
          <w:lang w:eastAsia="ar-SA"/>
        </w:rPr>
        <w:t xml:space="preserve">                М.П.</w:t>
      </w:r>
      <w:bookmarkEnd w:id="19"/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bookmarkEnd w:id="20"/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раздела 6 «ПРОЕКТ ДОГОВОРА» и раздела 7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раздела 7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06"/>
        <w:gridCol w:w="1350"/>
        <w:gridCol w:w="1641"/>
        <w:gridCol w:w="3854"/>
        <w:gridCol w:w="2063"/>
        <w:gridCol w:w="28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07" w:type="pct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jc w:val="both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предла</w:t>
      </w:r>
      <w:r>
        <w:rPr>
          <w:sz w:val="20"/>
          <w:szCs w:val="20"/>
        </w:rPr>
        <w:t xml:space="preserve">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разделе 7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000000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000000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567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3"/>
        </w:numPr>
        <w:ind w:left="0" w:firstLine="60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55"/>
        <w:jc w:val="center"/>
        <w:keepNext w:val="0"/>
        <w:spacing w:after="0"/>
        <w:widowControl w:val="off"/>
        <w:rPr>
          <w:bCs/>
          <w:caps/>
          <w:sz w:val="24"/>
          <w:szCs w:val="24"/>
          <w:highlight w:val="white"/>
        </w:rPr>
      </w:pPr>
      <w:r>
        <w:rPr>
          <w:sz w:val="20"/>
        </w:rPr>
        <w:br w:type="page" w:clear="all"/>
      </w:r>
      <w:r>
        <w:rPr>
          <w:bCs/>
          <w:caps/>
          <w:sz w:val="24"/>
          <w:szCs w:val="24"/>
          <w:highlight w:val="white"/>
        </w:rPr>
      </w:r>
      <w:r>
        <w:rPr>
          <w:bCs/>
          <w:caps/>
          <w:sz w:val="24"/>
          <w:szCs w:val="24"/>
          <w:highlight w:val="white"/>
        </w:rPr>
      </w:r>
    </w:p>
    <w:p>
      <w:pPr>
        <w:pStyle w:val="1055"/>
        <w:jc w:val="center"/>
        <w:spacing w:after="0"/>
        <w:tabs>
          <w:tab w:val="num" w:pos="0" w:leader="none"/>
        </w:tabs>
        <w:rPr>
          <w:sz w:val="24"/>
          <w:szCs w:val="24"/>
        </w:rPr>
      </w:pPr>
      <w:r/>
      <w:bookmarkStart w:id="28" w:name="_Toc536483696"/>
      <w:r/>
      <w:bookmarkStart w:id="29" w:name="_Ref166330580"/>
      <w:r>
        <w:rPr>
          <w:sz w:val="24"/>
          <w:szCs w:val="24"/>
        </w:rPr>
        <w:t xml:space="preserve">ФОРМА 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АНТИКОРРУПЦИОННЫЕ ОБЯЗАТЕЛЬСТВА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</w:pPr>
      <w:r/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19"/>
        </w:numPr>
        <w:ind w:left="0" w:firstLine="709"/>
        <w:jc w:val="both"/>
        <w:tabs>
          <w:tab w:val="num" w:pos="0" w:leader="none"/>
        </w:tabs>
        <w:rPr>
          <w:color w:val="000000"/>
          <w:highlight w:val="white"/>
        </w:rPr>
      </w:pPr>
      <w:r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</w:t>
      </w:r>
      <w:r>
        <w:rPr>
          <w:color w:val="000000"/>
          <w:highlight w:val="white"/>
        </w:rPr>
        <w:t xml:space="preserve">нный в </w:t>
      </w:r>
      <w:r>
        <w:rPr>
          <w:color w:val="000000"/>
          <w:highlight w:val="white"/>
        </w:rPr>
        <w:t xml:space="preserve">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contextualSpacing/>
        <w:ind w:firstLine="709"/>
        <w:jc w:val="both"/>
        <w:widowControl w:val="off"/>
        <w:rPr>
          <w:highlight w:val="white"/>
        </w:rPr>
      </w:pPr>
      <w:r>
        <w:rPr>
          <w:highlight w:val="white"/>
        </w:rPr>
        <w:t xml:space="preserve">1.1</w:t>
      </w:r>
      <w:r>
        <w:rPr>
          <w:highlight w:val="white"/>
        </w:rPr>
        <w:tab/>
      </w:r>
      <w:r>
        <w:t xml:space="preserve">Ознакомлен с Антикоррупционной политикой АО «Россети Сибирь Тываэнерго», утвержденной решением Совета директоров АО «Россети Сибирь Тываэнерго» (протокол Совета директоров от 25.08.2023 № 47/23) (далее - Антикоррупционная политика)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23"/>
        </w:numPr>
        <w:contextualSpacing/>
        <w:ind w:left="0" w:firstLine="709"/>
        <w:jc w:val="both"/>
        <w:widowControl w:val="off"/>
      </w:pPr>
      <w:r>
        <w:rPr>
          <w:highlight w:val="white"/>
        </w:rPr>
        <w:t xml:space="preserve">Согласен с принимаемыми в ПАО «Россети Сибирь» мерами, направле</w:t>
      </w:r>
      <w:r>
        <w:rPr>
          <w:highlight w:val="white"/>
        </w:rPr>
        <w:t xml:space="preserve">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</w:t>
      </w:r>
      <w:r>
        <w:t xml:space="preserve">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19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1"/>
        </w:numPr>
        <w:ind w:left="0" w:firstLine="709"/>
        <w:jc w:val="both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0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2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jc w:val="both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  <w:r>
        <w:rPr>
          <w:b/>
          <w:i/>
          <w:color w:val="000000"/>
        </w:rPr>
      </w:r>
    </w:p>
    <w:p>
      <w:pPr>
        <w:ind w:firstLine="709"/>
        <w:jc w:val="both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</w:t>
      </w:r>
      <w:r>
        <w:rPr>
          <w:i/>
        </w:rPr>
        <w:t xml:space="preserve">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18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  <w:r>
        <w:rPr>
          <w:i/>
          <w:color w:val="2f2c2d"/>
          <w:shd w:val="clear" w:color="auto" w:fill="ffffff"/>
        </w:rPr>
      </w:r>
    </w:p>
    <w:p>
      <w:r/>
      <w:bookmarkEnd w:id="29"/>
      <w:r/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firstLine="709"/>
        <w:jc w:val="center"/>
        <w:spacing w:before="120"/>
        <w:rPr>
          <w:b/>
          <w:caps/>
        </w:rPr>
      </w:pPr>
      <w:r>
        <w:rPr>
          <w:i/>
          <w:sz w:val="22"/>
          <w:szCs w:val="22"/>
        </w:rPr>
        <w:br w:type="page" w:clear="all"/>
      </w:r>
      <w:bookmarkStart w:id="30" w:name="_Toc307936265"/>
      <w:r/>
      <w:bookmarkStart w:id="31" w:name="_Toc255987075"/>
      <w:r/>
      <w:bookmarkStart w:id="32" w:name="_Toc298234713"/>
      <w:r/>
      <w:bookmarkStart w:id="33" w:name="_Toc536483699"/>
      <w:r>
        <w:rPr>
          <w:b/>
        </w:rPr>
        <w:t xml:space="preserve">ФОРМА 5</w:t>
      </w:r>
      <w:r>
        <w:rPr>
          <w:b/>
          <w:caps/>
        </w:rPr>
        <w:t xml:space="preserve">. </w:t>
      </w:r>
      <w:bookmarkEnd w:id="30"/>
      <w:r/>
      <w:bookmarkEnd w:id="31"/>
      <w:r/>
      <w:bookmarkEnd w:id="32"/>
      <w:r>
        <w:rPr>
          <w:b/>
          <w:caps/>
        </w:rPr>
        <w:t xml:space="preserve">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33"/>
      <w:r>
        <w:rPr>
          <w:b/>
          <w:caps/>
        </w:rPr>
      </w:r>
      <w:r>
        <w:rPr>
          <w:b/>
          <w:caps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567"/>
        <w:jc w:val="both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rPr>
          <w:i/>
        </w:rPr>
        <w:t xml:space="preserve"> 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25"/>
        </w:numPr>
        <w:contextualSpacing/>
        <w:ind w:left="340" w:right="113"/>
        <w:jc w:val="both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5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5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 </w:t>
      </w:r>
      <w:r>
        <w:rPr>
          <w:rFonts w:eastAsia="Calibri"/>
          <w:sz w:val="18"/>
          <w:szCs w:val="18"/>
          <w:lang w:eastAsia="en-US"/>
        </w:rPr>
        <w:t xml:space="preserve">которые могут быть признаны аффилированными с любыми лицами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25"/>
        </w:numPr>
        <w:contextualSpacing/>
        <w:ind w:left="340" w:right="113"/>
        <w:jc w:val="both"/>
        <w:spacing w:after="200"/>
        <w:widowControl w:val="off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ind w:firstLine="709"/>
        <w:spacing w:before="120"/>
        <w:widowControl w:val="o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widowControl w:val="off"/>
      </w:pPr>
      <w:r/>
      <w:bookmarkStart w:id="34" w:name="_Toc127334290"/>
      <w:r/>
      <w:bookmarkEnd w:id="34"/>
      <w:r/>
      <w:r/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55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35" w:name="_Toc53648370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6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35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r/>
      <w:r/>
    </w:p>
    <w:p>
      <w:pPr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36" w:name="_Toc476225313"/>
            <w:r/>
            <w:bookmarkStart w:id="37" w:name="_Toc485198248"/>
            <w:r/>
            <w:bookmarkStart w:id="38" w:name="_Toc536483703"/>
            <w:r/>
            <w:bookmarkStart w:id="39" w:name="_Toc404866843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36"/>
            <w:r/>
            <w:bookmarkEnd w:id="37"/>
            <w:r/>
            <w:bookmarkEnd w:id="38"/>
            <w:r>
              <w:rPr>
                <w:rFonts w:eastAsia="Calibri"/>
                <w:sz w:val="20"/>
                <w:szCs w:val="22"/>
                <w:lang w:eastAsia="en-US"/>
              </w:rPr>
            </w:r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0" w:name="_Toc476225314"/>
            <w:r/>
            <w:bookmarkStart w:id="41" w:name="_Toc485198249"/>
            <w:r/>
            <w:bookmarkStart w:id="42" w:name="_Toc536483704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39"/>
            <w:r/>
            <w:bookmarkEnd w:id="40"/>
            <w:r/>
            <w:bookmarkEnd w:id="4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3" w:name="_Toc476225315"/>
            <w:r/>
            <w:bookmarkStart w:id="44" w:name="_Toc485198250"/>
            <w:r/>
            <w:bookmarkStart w:id="45" w:name="_Toc536483705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42"/>
            <w:r/>
            <w:bookmarkEnd w:id="43"/>
            <w:r/>
            <w:bookmarkEnd w:id="4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6" w:name="_Toc476225316"/>
            <w:r/>
            <w:bookmarkStart w:id="47" w:name="_Toc485198251"/>
            <w:r/>
            <w:bookmarkStart w:id="48" w:name="_Toc536483706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45"/>
            <w:r/>
            <w:bookmarkEnd w:id="46"/>
            <w:r/>
            <w:bookmarkEnd w:id="4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9" w:name="_Toc476225317"/>
            <w:r/>
            <w:bookmarkStart w:id="50" w:name="_Toc485198252"/>
            <w:r/>
            <w:bookmarkStart w:id="51" w:name="_Toc53648370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48"/>
            <w:r/>
            <w:bookmarkEnd w:id="49"/>
            <w:r/>
            <w:bookmarkEnd w:id="5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2" w:name="_Toc476225318"/>
            <w:r/>
            <w:bookmarkStart w:id="53" w:name="_Toc485198253"/>
            <w:r/>
            <w:bookmarkStart w:id="54" w:name="_Toc536483708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51"/>
            <w:r/>
            <w:bookmarkEnd w:id="52"/>
            <w:r/>
            <w:bookmarkEnd w:id="5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5" w:name="_Toc476225319"/>
            <w:r/>
            <w:bookmarkStart w:id="56" w:name="_Toc485198254"/>
            <w:r/>
            <w:bookmarkStart w:id="57" w:name="_Toc536483709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54"/>
            <w:r/>
            <w:bookmarkEnd w:id="55"/>
            <w:r/>
            <w:bookmarkEnd w:id="5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8" w:name="_Toc476225320"/>
            <w:r/>
            <w:bookmarkStart w:id="59" w:name="_Toc485198255"/>
            <w:r/>
            <w:bookmarkStart w:id="60" w:name="_Toc536483710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57"/>
            <w:r/>
            <w:bookmarkEnd w:id="58"/>
            <w:r/>
            <w:bookmarkEnd w:id="5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1" w:name="_Toc476225321"/>
            <w:r/>
            <w:bookmarkStart w:id="62" w:name="_Toc485198256"/>
            <w:r/>
            <w:bookmarkStart w:id="63" w:name="_Toc536483711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60"/>
            <w:r/>
            <w:bookmarkEnd w:id="61"/>
            <w:r/>
            <w:bookmarkEnd w:id="6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4" w:name="_Toc476225322"/>
            <w:r/>
            <w:bookmarkStart w:id="65" w:name="_Toc485198257"/>
            <w:r/>
            <w:bookmarkStart w:id="66" w:name="_Toc536483712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63"/>
            <w:r/>
            <w:bookmarkEnd w:id="64"/>
            <w:r/>
            <w:bookmarkEnd w:id="6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7" w:name="_Toc476225323"/>
            <w:r/>
            <w:bookmarkStart w:id="68" w:name="_Toc485198258"/>
            <w:r/>
            <w:bookmarkStart w:id="69" w:name="_Toc53648371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66"/>
            <w:r/>
            <w:bookmarkEnd w:id="67"/>
            <w:r/>
            <w:bookmarkEnd w:id="6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0" w:name="_Toc476225324"/>
            <w:r/>
            <w:bookmarkStart w:id="71" w:name="_Toc485198259"/>
            <w:r/>
            <w:bookmarkStart w:id="72" w:name="_Toc53648371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69"/>
            <w:r/>
            <w:bookmarkEnd w:id="70"/>
            <w:r/>
            <w:bookmarkEnd w:id="7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3" w:name="_Toc476225325"/>
            <w:r/>
            <w:bookmarkStart w:id="74" w:name="_Toc485198260"/>
            <w:r/>
            <w:bookmarkStart w:id="75" w:name="_Toc536483715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72"/>
            <w:r/>
            <w:bookmarkEnd w:id="73"/>
            <w:r/>
            <w:bookmarkEnd w:id="7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6" w:name="_Toc476225326"/>
            <w:r/>
            <w:bookmarkStart w:id="77" w:name="_Toc485198261"/>
            <w:r/>
            <w:bookmarkStart w:id="78" w:name="_Toc536483716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75"/>
            <w:r/>
            <w:bookmarkEnd w:id="76"/>
            <w:r/>
            <w:bookmarkEnd w:id="7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9" w:name="_Toc476225327"/>
            <w:r/>
            <w:bookmarkStart w:id="80" w:name="_Toc485198262"/>
            <w:r/>
            <w:bookmarkStart w:id="81" w:name="_Toc536483717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8"/>
            <w:r/>
            <w:bookmarkEnd w:id="79"/>
            <w:r/>
            <w:bookmarkEnd w:id="8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2" w:name="_Toc476225328"/>
            <w:r/>
            <w:bookmarkStart w:id="83" w:name="_Toc485198263"/>
            <w:r/>
            <w:bookmarkStart w:id="84" w:name="_Toc53648371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81"/>
            <w:r/>
            <w:bookmarkEnd w:id="82"/>
            <w:r/>
            <w:bookmarkEnd w:id="8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5" w:name="_Toc476225329"/>
            <w:r/>
            <w:bookmarkStart w:id="86" w:name="_Toc485198264"/>
            <w:r/>
            <w:bookmarkStart w:id="87" w:name="_Toc536483719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84"/>
            <w:r/>
            <w:bookmarkEnd w:id="85"/>
            <w:r/>
            <w:bookmarkEnd w:id="8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8" w:name="_Toc476225330"/>
            <w:r/>
            <w:bookmarkStart w:id="89" w:name="_Toc485198265"/>
            <w:r/>
            <w:bookmarkStart w:id="90" w:name="_Toc536483720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7"/>
            <w:r/>
            <w:bookmarkEnd w:id="88"/>
            <w:r/>
            <w:bookmarkEnd w:id="8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1" w:name="_Toc476225331"/>
            <w:r/>
            <w:bookmarkStart w:id="92" w:name="_Toc485198266"/>
            <w:r/>
            <w:bookmarkStart w:id="93" w:name="_Toc536483721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90"/>
            <w:r/>
            <w:bookmarkEnd w:id="91"/>
            <w:r/>
            <w:bookmarkEnd w:id="9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4" w:name="_Toc476225332"/>
            <w:r/>
            <w:bookmarkStart w:id="95" w:name="_Toc485198267"/>
            <w:r/>
            <w:bookmarkStart w:id="96" w:name="_Toc536483722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93"/>
            <w:r/>
            <w:bookmarkEnd w:id="94"/>
            <w:r/>
            <w:bookmarkEnd w:id="9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7" w:name="_Toc476225333"/>
            <w:r/>
            <w:bookmarkStart w:id="98" w:name="_Toc485198268"/>
            <w:r/>
            <w:bookmarkStart w:id="99" w:name="_Toc536483723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96"/>
            <w:r/>
            <w:bookmarkEnd w:id="97"/>
            <w:r/>
            <w:bookmarkEnd w:id="9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0" w:name="_Toc476225334"/>
            <w:r/>
            <w:bookmarkStart w:id="101" w:name="_Toc485198269"/>
            <w:r/>
            <w:bookmarkStart w:id="102" w:name="_Toc536483724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99"/>
            <w:r/>
            <w:bookmarkEnd w:id="100"/>
            <w:r/>
            <w:bookmarkEnd w:id="10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3" w:name="_Toc476225335"/>
            <w:r/>
            <w:bookmarkStart w:id="104" w:name="_Toc485198270"/>
            <w:r/>
            <w:bookmarkStart w:id="105" w:name="_Toc536483725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02"/>
            <w:r/>
            <w:bookmarkEnd w:id="103"/>
            <w:r/>
            <w:bookmarkEnd w:id="10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6" w:name="_Toc476225336"/>
            <w:r/>
            <w:bookmarkStart w:id="107" w:name="_Toc485198271"/>
            <w:r/>
            <w:bookmarkStart w:id="108" w:name="_Toc536483726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05"/>
            <w:r/>
            <w:bookmarkEnd w:id="106"/>
            <w:r/>
            <w:bookmarkEnd w:id="10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9" w:name="_Toc476225337"/>
            <w:r/>
            <w:bookmarkStart w:id="110" w:name="_Toc485198272"/>
            <w:r/>
            <w:bookmarkStart w:id="111" w:name="_Toc536483727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08"/>
            <w:r/>
            <w:bookmarkEnd w:id="109"/>
            <w:r/>
            <w:bookmarkEnd w:id="11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2" w:name="_Toc476225338"/>
            <w:r/>
            <w:bookmarkStart w:id="113" w:name="_Toc485198273"/>
            <w:r/>
            <w:bookmarkStart w:id="114" w:name="_Toc536483728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11"/>
            <w:r/>
            <w:bookmarkEnd w:id="112"/>
            <w:r/>
            <w:bookmarkEnd w:id="11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5" w:name="_Toc476225339"/>
            <w:r/>
            <w:bookmarkStart w:id="116" w:name="_Toc485198274"/>
            <w:r/>
            <w:bookmarkStart w:id="117" w:name="_Toc536483729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14"/>
            <w:r/>
            <w:bookmarkEnd w:id="115"/>
            <w:r/>
            <w:bookmarkEnd w:id="1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8" w:name="_Toc476225340"/>
            <w:r/>
            <w:bookmarkStart w:id="119" w:name="_Toc485198275"/>
            <w:r/>
            <w:bookmarkStart w:id="120" w:name="_Toc536483730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17"/>
            <w:r/>
            <w:bookmarkEnd w:id="118"/>
            <w:r/>
            <w:bookmarkEnd w:id="11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1" w:name="_Toc476225341"/>
            <w:r/>
            <w:bookmarkStart w:id="122" w:name="_Toc485198276"/>
            <w:r/>
            <w:bookmarkStart w:id="123" w:name="_Toc536483731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20"/>
            <w:r/>
            <w:bookmarkEnd w:id="121"/>
            <w:r/>
            <w:bookmarkEnd w:id="12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4" w:name="_Toc476225342"/>
            <w:r/>
            <w:bookmarkStart w:id="125" w:name="_Toc485198277"/>
            <w:r/>
            <w:bookmarkStart w:id="126" w:name="_Toc536483732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23"/>
            <w:r/>
            <w:bookmarkEnd w:id="124"/>
            <w:r/>
            <w:bookmarkEnd w:id="12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7" w:name="_Toc476225343"/>
            <w:r/>
            <w:bookmarkStart w:id="128" w:name="_Toc485198278"/>
            <w:r/>
            <w:bookmarkStart w:id="129" w:name="_Toc536483733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26"/>
            <w:r/>
            <w:bookmarkEnd w:id="127"/>
            <w:r/>
            <w:bookmarkEnd w:id="12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0" w:name="_Toc476225344"/>
            <w:r/>
            <w:bookmarkStart w:id="131" w:name="_Toc485198279"/>
            <w:r/>
            <w:bookmarkStart w:id="132" w:name="_Toc536483734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29"/>
            <w:r/>
            <w:bookmarkEnd w:id="130"/>
            <w:r/>
            <w:bookmarkEnd w:id="13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3" w:name="_Toc476225345"/>
            <w:r/>
            <w:bookmarkStart w:id="134" w:name="_Toc485198280"/>
            <w:r/>
            <w:bookmarkStart w:id="135" w:name="_Toc536483735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32"/>
            <w:r/>
            <w:bookmarkEnd w:id="133"/>
            <w:r/>
            <w:bookmarkEnd w:id="13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36" w:name="_Toc476225346"/>
            <w:r/>
            <w:bookmarkStart w:id="137" w:name="_Toc485198281"/>
            <w:r/>
            <w:bookmarkStart w:id="138" w:name="_Toc53648373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35"/>
            <w:r/>
            <w:bookmarkEnd w:id="136"/>
            <w:r/>
            <w:bookmarkEnd w:id="137"/>
            <w:r>
              <w:rPr>
                <w:rFonts w:eastAsia="Calibri"/>
                <w:sz w:val="20"/>
                <w:szCs w:val="22"/>
                <w:lang w:eastAsia="en-US"/>
              </w:rPr>
            </w:r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9" w:name="_Toc476225347"/>
            <w:r/>
            <w:bookmarkStart w:id="140" w:name="_Toc485198282"/>
            <w:r/>
            <w:bookmarkStart w:id="141" w:name="_Toc53648373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38"/>
            <w:r/>
            <w:bookmarkEnd w:id="139"/>
            <w:r/>
            <w:bookmarkEnd w:id="14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2" w:name="_Toc476225348"/>
            <w:r/>
            <w:bookmarkStart w:id="143" w:name="_Toc485198283"/>
            <w:r/>
            <w:bookmarkStart w:id="144" w:name="_Toc536483738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41"/>
            <w:r/>
            <w:bookmarkEnd w:id="142"/>
            <w:r/>
            <w:bookmarkEnd w:id="14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5" w:name="_Toc476225349"/>
            <w:r/>
            <w:bookmarkStart w:id="146" w:name="_Toc485198284"/>
            <w:r/>
            <w:bookmarkStart w:id="147" w:name="_Toc53648373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44"/>
            <w:r/>
            <w:bookmarkEnd w:id="145"/>
            <w:r/>
            <w:bookmarkEnd w:id="14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8" w:name="_Toc476225350"/>
            <w:r/>
            <w:bookmarkStart w:id="149" w:name="_Toc485198285"/>
            <w:r/>
            <w:bookmarkStart w:id="150" w:name="_Toc536483740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47"/>
            <w:r/>
            <w:bookmarkEnd w:id="148"/>
            <w:r/>
            <w:bookmarkEnd w:id="14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1" w:name="_Toc476225351"/>
            <w:r/>
            <w:bookmarkStart w:id="152" w:name="_Toc485198286"/>
            <w:r/>
            <w:bookmarkStart w:id="153" w:name="_Toc536483741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50"/>
            <w:r/>
            <w:bookmarkEnd w:id="151"/>
            <w:r/>
            <w:bookmarkEnd w:id="15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4" w:name="_Toc476225352"/>
            <w:r/>
            <w:bookmarkStart w:id="155" w:name="_Toc485198287"/>
            <w:r/>
            <w:bookmarkStart w:id="156" w:name="_Toc536483742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53"/>
            <w:r/>
            <w:bookmarkEnd w:id="154"/>
            <w:r/>
            <w:bookmarkEnd w:id="15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7" w:name="_Toc476225353"/>
            <w:r/>
            <w:bookmarkStart w:id="158" w:name="_Toc485198288"/>
            <w:r/>
            <w:bookmarkStart w:id="159" w:name="_Toc536483743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56"/>
            <w:r/>
            <w:bookmarkEnd w:id="157"/>
            <w:r/>
            <w:bookmarkEnd w:id="15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0" w:name="_Toc476225354"/>
            <w:r/>
            <w:bookmarkStart w:id="161" w:name="_Toc485198289"/>
            <w:r/>
            <w:bookmarkStart w:id="162" w:name="_Toc536483744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59"/>
            <w:r/>
            <w:bookmarkEnd w:id="160"/>
            <w:r/>
            <w:bookmarkEnd w:id="16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3" w:name="_Toc476225355"/>
            <w:r/>
            <w:bookmarkStart w:id="164" w:name="_Toc485198290"/>
            <w:r/>
            <w:bookmarkStart w:id="165" w:name="_Toc53648374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62"/>
            <w:r/>
            <w:bookmarkEnd w:id="163"/>
            <w:r/>
            <w:bookmarkEnd w:id="16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6" w:name="_Toc476225356"/>
            <w:r/>
            <w:bookmarkStart w:id="167" w:name="_Toc485198291"/>
            <w:r/>
            <w:bookmarkStart w:id="168" w:name="_Toc536483746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65"/>
            <w:r/>
            <w:bookmarkEnd w:id="166"/>
            <w:r/>
            <w:bookmarkEnd w:id="16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9" w:name="_Toc476225357"/>
            <w:r/>
            <w:bookmarkStart w:id="170" w:name="_Toc485198292"/>
            <w:r/>
            <w:bookmarkStart w:id="171" w:name="_Toc536483747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68"/>
            <w:r/>
            <w:bookmarkEnd w:id="169"/>
            <w:r/>
            <w:bookmarkEnd w:id="17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2" w:name="_Toc476225358"/>
            <w:r/>
            <w:bookmarkStart w:id="173" w:name="_Toc485198293"/>
            <w:r/>
            <w:bookmarkStart w:id="174" w:name="_Toc53648374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71"/>
            <w:r/>
            <w:bookmarkEnd w:id="172"/>
            <w:r/>
            <w:bookmarkEnd w:id="17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5" w:name="_Toc536483749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7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6" w:name="_Toc476225359"/>
            <w:r/>
            <w:bookmarkStart w:id="177" w:name="_Toc485198294"/>
            <w:r/>
            <w:bookmarkStart w:id="178" w:name="_Toc536483750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75"/>
            <w:r/>
            <w:bookmarkEnd w:id="176"/>
            <w:r/>
            <w:bookmarkEnd w:id="17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9" w:name="_Toc476225360"/>
            <w:r/>
            <w:bookmarkStart w:id="180" w:name="_Toc485198295"/>
            <w:r/>
            <w:bookmarkStart w:id="181" w:name="_Toc536483751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78"/>
            <w:r/>
            <w:bookmarkEnd w:id="179"/>
            <w:r/>
            <w:bookmarkEnd w:id="18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2" w:name="_Toc476225361"/>
            <w:r/>
            <w:bookmarkStart w:id="183" w:name="_Toc485198296"/>
            <w:r/>
            <w:bookmarkStart w:id="184" w:name="_Toc536483752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81"/>
            <w:r/>
            <w:bookmarkEnd w:id="182"/>
            <w:r/>
            <w:bookmarkEnd w:id="18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5" w:name="_Toc476225362"/>
            <w:r/>
            <w:bookmarkStart w:id="186" w:name="_Toc485198297"/>
            <w:r/>
            <w:bookmarkStart w:id="187" w:name="_Toc536483753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84"/>
            <w:r/>
            <w:bookmarkEnd w:id="185"/>
            <w:r/>
            <w:bookmarkEnd w:id="18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8" w:name="_Toc476225363"/>
            <w:r/>
            <w:bookmarkStart w:id="189" w:name="_Toc485198298"/>
            <w:r/>
            <w:bookmarkStart w:id="190" w:name="_Toc536483754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87"/>
            <w:r/>
            <w:bookmarkEnd w:id="188"/>
            <w:r/>
            <w:bookmarkEnd w:id="18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1" w:name="_Toc476225364"/>
            <w:r/>
            <w:bookmarkStart w:id="192" w:name="_Toc485198299"/>
            <w:r/>
            <w:bookmarkStart w:id="193" w:name="_Toc536483755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90"/>
            <w:r/>
            <w:bookmarkEnd w:id="191"/>
            <w:r/>
            <w:bookmarkEnd w:id="192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4" w:name="_Toc476225365"/>
            <w:r/>
            <w:bookmarkStart w:id="195" w:name="_Toc485198300"/>
            <w:r/>
            <w:bookmarkStart w:id="196" w:name="_Toc536483756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93"/>
            <w:r/>
            <w:bookmarkEnd w:id="194"/>
            <w:r/>
            <w:bookmarkEnd w:id="195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7" w:name="_Toc476225366"/>
            <w:r/>
            <w:bookmarkStart w:id="198" w:name="_Toc485198301"/>
            <w:r/>
            <w:bookmarkStart w:id="199" w:name="_Toc536483757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96"/>
            <w:r/>
            <w:bookmarkEnd w:id="197"/>
            <w:r/>
            <w:bookmarkEnd w:id="19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0" w:name="_Toc476225367"/>
            <w:r/>
            <w:bookmarkStart w:id="201" w:name="_Toc485198302"/>
            <w:r/>
            <w:bookmarkStart w:id="202" w:name="_Toc536483758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99"/>
            <w:r/>
            <w:bookmarkEnd w:id="200"/>
            <w:r/>
            <w:bookmarkEnd w:id="20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3" w:name="_Toc476225368"/>
            <w:r/>
            <w:bookmarkStart w:id="204" w:name="_Toc485198303"/>
            <w:r/>
            <w:bookmarkStart w:id="205" w:name="_Toc536483759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02"/>
            <w:r/>
            <w:bookmarkEnd w:id="203"/>
            <w:r/>
            <w:bookmarkEnd w:id="20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6" w:name="_Toc476225369"/>
            <w:r/>
            <w:bookmarkStart w:id="207" w:name="_Toc485198304"/>
            <w:r/>
            <w:bookmarkStart w:id="208" w:name="_Toc536483760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05"/>
            <w:r/>
            <w:bookmarkEnd w:id="206"/>
            <w:r/>
            <w:bookmarkEnd w:id="20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9" w:name="_Toc476225370"/>
            <w:r/>
            <w:bookmarkStart w:id="210" w:name="_Toc485198305"/>
            <w:r/>
            <w:bookmarkStart w:id="211" w:name="_Toc536483761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08"/>
            <w:r/>
            <w:bookmarkEnd w:id="209"/>
            <w:r/>
            <w:bookmarkEnd w:id="21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2" w:name="_Toc476225371"/>
            <w:r/>
            <w:bookmarkStart w:id="213" w:name="_Toc485198306"/>
            <w:r/>
            <w:bookmarkStart w:id="214" w:name="_Toc536483762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11"/>
            <w:r/>
            <w:bookmarkEnd w:id="212"/>
            <w:r/>
            <w:bookmarkEnd w:id="21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5" w:name="_Toc476225372"/>
            <w:r/>
            <w:bookmarkStart w:id="216" w:name="_Toc485198307"/>
            <w:r/>
            <w:bookmarkStart w:id="217" w:name="_Toc536483763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14"/>
            <w:r/>
            <w:bookmarkEnd w:id="215"/>
            <w:r/>
            <w:bookmarkEnd w:id="2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8" w:name="_Toc536483764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1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9" w:name="_Toc536483765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18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0" w:name="_Toc536483766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1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  <w:r>
        <w:rPr>
          <w:bCs/>
          <w:sz w:val="20"/>
        </w:rPr>
      </w:r>
    </w:p>
    <w:p>
      <w:pPr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1" w:name="_Toc476225375"/>
      <w:r/>
      <w:bookmarkStart w:id="222" w:name="_Toc485198310"/>
      <w:r/>
      <w:bookmarkStart w:id="223" w:name="_Toc536483767"/>
      <w:r/>
      <w:bookmarkEnd w:id="220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21"/>
      <w:r/>
      <w:bookmarkEnd w:id="222"/>
      <w:r/>
      <w:bookmarkEnd w:id="223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4" w:name="_Toc476225376"/>
      <w:r/>
      <w:bookmarkStart w:id="225" w:name="_Toc485198311"/>
      <w:r/>
      <w:bookmarkStart w:id="226" w:name="_Toc536483768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</w:t>
      </w:r>
      <w:r>
        <w:rPr>
          <w:rFonts w:eastAsia="Calibri" w:cs="Arial"/>
          <w:bCs/>
          <w:sz w:val="18"/>
          <w:szCs w:val="18"/>
          <w:lang w:eastAsia="en-US"/>
        </w:rPr>
        <w:t xml:space="preserve">гента вносится в Excel файл (Приложение к настоящему извещению),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24"/>
      <w:r/>
      <w:bookmarkEnd w:id="225"/>
      <w:r/>
      <w:bookmarkEnd w:id="226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</w:t>
      </w:r>
      <w:r>
        <w:rPr>
          <w:rFonts w:ascii="Calibri" w:hAnsi="Calibri" w:eastAsia="Calibri"/>
          <w:sz w:val="18"/>
          <w:szCs w:val="18"/>
          <w:lang w:eastAsia="en-US"/>
        </w:rPr>
        <w:t xml:space="preserve"> </w:t>
      </w:r>
      <w:r>
        <w:rPr>
          <w:rFonts w:eastAsia="Calibri"/>
          <w:sz w:val="18"/>
          <w:szCs w:val="18"/>
          <w:lang w:eastAsia="en-US"/>
        </w:rPr>
        <w:t xml:space="preserve">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7" w:name="_Toc404866844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8" w:name="_Toc476225377"/>
      <w:r/>
      <w:bookmarkStart w:id="229" w:name="_Toc485198312"/>
      <w:r/>
      <w:bookmarkStart w:id="230" w:name="_Toc536483769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27"/>
      <w:r/>
      <w:bookmarkEnd w:id="228"/>
      <w:r/>
      <w:bookmarkEnd w:id="229"/>
      <w:r/>
      <w:bookmarkEnd w:id="230"/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/>
      <w:bookmarkStart w:id="231" w:name="_Toc404866845"/>
      <w:r/>
      <w:bookmarkStart w:id="232" w:name="_Toc404852359"/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3" w:name="_Toc476225378"/>
      <w:r/>
      <w:bookmarkStart w:id="234" w:name="_Toc485198313"/>
      <w:r/>
      <w:bookmarkStart w:id="235" w:name="_Toc536483770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31"/>
      <w:r/>
      <w:bookmarkEnd w:id="232"/>
      <w:r/>
      <w:bookmarkEnd w:id="233"/>
      <w:r/>
      <w:bookmarkEnd w:id="234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</w:t>
      </w:r>
      <w:bookmarkEnd w:id="235"/>
      <w:r>
        <w:rPr>
          <w:rFonts w:eastAsia="Calibri"/>
          <w:sz w:val="20"/>
          <w:lang w:eastAsia="en-US"/>
        </w:rPr>
        <w:t xml:space="preserve">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7"/>
        </w:numPr>
        <w:contextualSpacing/>
        <w:ind w:left="0" w:firstLine="0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6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6" w:name="_Toc404866846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37" w:name="_Toc476225379"/>
      <w:r/>
      <w:bookmarkStart w:id="238" w:name="_Toc485198314"/>
      <w:r/>
      <w:bookmarkStart w:id="239" w:name="_Toc536483771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36"/>
      <w:r/>
      <w:bookmarkEnd w:id="237"/>
      <w:r/>
      <w:bookmarkEnd w:id="238"/>
      <w:r/>
      <w:bookmarkEnd w:id="239"/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28"/>
        </w:numPr>
        <w:contextualSpacing/>
        <w:ind w:left="0" w:firstLine="0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055"/>
        <w:ind w:left="567"/>
        <w:jc w:val="center"/>
        <w:pageBreakBefore/>
        <w:spacing w:after="0"/>
        <w:rPr>
          <w:caps/>
          <w:sz w:val="24"/>
          <w:szCs w:val="24"/>
        </w:rPr>
      </w:pPr>
      <w:r/>
      <w:bookmarkStart w:id="240" w:name="_Toc536483772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  <w:lang w:val="ru-RU"/>
        </w:rPr>
        <w:t xml:space="preserve">7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40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both"/>
      </w:pPr>
      <w:r/>
      <w:r/>
    </w:p>
    <w:p>
      <w:pPr>
        <w:ind w:firstLine="567"/>
        <w:jc w:val="center"/>
        <w:spacing w:after="60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41" w:name="_Toc536567239"/>
      <w:r/>
      <w:bookmarkStart w:id="242" w:name="_Toc5779098"/>
      <w:r/>
      <w:bookmarkStart w:id="243" w:name="_Toc34053067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241"/>
      <w:r/>
      <w:bookmarkEnd w:id="242"/>
      <w:r/>
      <w:bookmarkEnd w:id="243"/>
      <w:r>
        <w:rPr>
          <w:b/>
          <w:sz w:val="26"/>
          <w:szCs w:val="26"/>
        </w:rPr>
        <w:t xml:space="preserve"> участника закупочной процедуры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  <w:jc w:val="both"/>
        <w:spacing w:after="60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jc w:val="both"/>
        <w:spacing w:after="60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jc w:val="both"/>
        <w:spacing w:after="60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  <w:r>
        <w:rPr>
          <w:sz w:val="20"/>
        </w:rPr>
      </w:r>
    </w:p>
    <w:p>
      <w:pPr>
        <w:ind w:firstLine="540"/>
        <w:jc w:val="center"/>
        <w:spacing w:after="6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567"/>
        <w:jc w:val="both"/>
        <w:spacing w:after="60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  <w:r>
        <w:rPr>
          <w:color w:val="000000"/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  <w:r>
        <w:rPr>
          <w:sz w:val="20"/>
        </w:rPr>
      </w:r>
    </w:p>
    <w:p>
      <w:pPr>
        <w:ind w:firstLine="567"/>
        <w:jc w:val="both"/>
        <w:spacing w:after="60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firstLine="567"/>
        <w:jc w:val="both"/>
        <w:spacing w:after="60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  <w:r>
        <w:rPr>
          <w:b/>
          <w:sz w:val="14"/>
          <w:szCs w:val="14"/>
        </w:rPr>
      </w:r>
    </w:p>
    <w:p>
      <w:pPr>
        <w:ind w:firstLine="567"/>
        <w:jc w:val="both"/>
        <w:spacing w:after="60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ind w:firstLine="567"/>
        <w:jc w:val="both"/>
        <w:spacing w:after="60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  <w:r>
        <w:rPr>
          <w:sz w:val="20"/>
        </w:rPr>
      </w:r>
    </w:p>
    <w:p>
      <w:pPr>
        <w:rPr>
          <w:bCs/>
          <w:sz w:val="20"/>
        </w:rPr>
      </w:pPr>
      <w:r>
        <w:rPr>
          <w:bCs/>
          <w:sz w:val="20"/>
        </w:rPr>
      </w:r>
      <w:r>
        <w:rPr>
          <w:bCs/>
          <w:sz w:val="20"/>
        </w:rPr>
      </w:r>
      <w:r>
        <w:rPr>
          <w:bCs/>
          <w:sz w:val="20"/>
        </w:rPr>
      </w:r>
    </w:p>
    <w:p>
      <w:pPr>
        <w:pStyle w:val="1055"/>
        <w:ind w:left="567"/>
        <w:keepNext w:val="0"/>
        <w:spacing w:after="0"/>
        <w:widowControl w:val="off"/>
        <w:rPr>
          <w:caps/>
          <w:sz w:val="24"/>
          <w:szCs w:val="24"/>
        </w:rPr>
      </w:pPr>
      <w:r>
        <w:br w:type="page" w:clear="all"/>
      </w:r>
      <w:bookmarkStart w:id="244" w:name="_Toc536483774"/>
      <w:r/>
      <w:bookmarkStart w:id="245" w:name="_Toc5779099"/>
      <w:r>
        <w:rPr>
          <w:caps/>
          <w:sz w:val="24"/>
          <w:szCs w:val="24"/>
        </w:rPr>
        <w:t xml:space="preserve">ФОРМА 8. Справка о материально-технических ресурсах</w:t>
      </w:r>
      <w:bookmarkEnd w:id="244"/>
      <w:r/>
      <w:bookmarkEnd w:id="245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widowControl w:val="off"/>
      </w:pPr>
      <w:r/>
      <w:r/>
    </w:p>
    <w:p>
      <w:pPr>
        <w:ind w:right="34" w:firstLine="567"/>
        <w:widowControl w:val="off"/>
        <w:rPr>
          <w:bCs/>
        </w:rPr>
        <w:outlineLvl w:val="0"/>
      </w:pPr>
      <w:r/>
      <w:bookmarkStart w:id="246" w:name="_Toc476225387"/>
      <w:r/>
      <w:bookmarkStart w:id="247" w:name="_Toc485198322"/>
      <w:r/>
      <w:bookmarkStart w:id="248" w:name="_Toc536483775"/>
      <w:r/>
      <w:bookmarkStart w:id="249" w:name="_Toc536567241"/>
      <w:r/>
      <w:bookmarkStart w:id="250" w:name="_Toc5779100"/>
      <w:r>
        <w:rPr>
          <w:bCs/>
        </w:rPr>
        <w:t xml:space="preserve">Способ и наименование закупки, с указанием № на ЭП __________________</w:t>
      </w:r>
      <w:bookmarkEnd w:id="246"/>
      <w:r/>
      <w:bookmarkEnd w:id="247"/>
      <w:r/>
      <w:bookmarkEnd w:id="248"/>
      <w:r/>
      <w:bookmarkEnd w:id="249"/>
      <w:r/>
      <w:bookmarkEnd w:id="250"/>
      <w:r>
        <w:rPr>
          <w:bCs/>
        </w:rPr>
      </w:r>
      <w:r>
        <w:rPr>
          <w:bCs/>
        </w:rPr>
      </w:r>
    </w:p>
    <w:p>
      <w:pPr>
        <w:ind w:right="34" w:firstLine="567"/>
        <w:widowControl w:val="off"/>
        <w:rPr>
          <w:i/>
          <w:iCs/>
          <w:sz w:val="22"/>
          <w:szCs w:val="22"/>
          <w:lang w:eastAsia="ar-SA"/>
        </w:rPr>
        <w:outlineLvl w:val="0"/>
      </w:pPr>
      <w:r/>
      <w:bookmarkStart w:id="251" w:name="_Toc476225388"/>
      <w:r/>
      <w:bookmarkStart w:id="252" w:name="_Toc485198323"/>
      <w:r/>
      <w:bookmarkStart w:id="253" w:name="_Toc536483776"/>
      <w:r/>
      <w:bookmarkStart w:id="254" w:name="_Toc536567242"/>
      <w:r/>
      <w:bookmarkStart w:id="255" w:name="_Toc5779101"/>
      <w:r>
        <w:rPr>
          <w:bCs/>
          <w:sz w:val="22"/>
          <w:szCs w:val="22"/>
          <w:lang w:eastAsia="ar-SA"/>
        </w:rPr>
        <w:t xml:space="preserve">Наименование и адрес участника  </w:t>
      </w:r>
      <w:r>
        <w:rPr>
          <w:bCs/>
          <w:i/>
          <w:iCs/>
          <w:sz w:val="22"/>
          <w:szCs w:val="22"/>
          <w:lang w:eastAsia="ar-SA"/>
        </w:rPr>
        <w:t xml:space="preserve">(генподрядчика)_____________________________</w:t>
      </w:r>
      <w:bookmarkEnd w:id="251"/>
      <w:r/>
      <w:bookmarkEnd w:id="252"/>
      <w:r/>
      <w:bookmarkEnd w:id="253"/>
      <w:r/>
      <w:bookmarkEnd w:id="254"/>
      <w:r/>
      <w:bookmarkEnd w:id="255"/>
      <w:r>
        <w:rPr>
          <w:i/>
          <w:iCs/>
          <w:sz w:val="22"/>
          <w:szCs w:val="22"/>
          <w:lang w:eastAsia="ar-SA"/>
        </w:rPr>
      </w:r>
      <w:r>
        <w:rPr>
          <w:i/>
          <w:i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Наименование субподрядчиков (членов коллективного участника):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1.____________________________________________________________________________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2. 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….___________________________________________________________________________</w:t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tbl>
      <w:tblPr>
        <w:tblW w:w="10348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701"/>
        <w:gridCol w:w="1559"/>
        <w:gridCol w:w="1418"/>
        <w:gridCol w:w="1276"/>
        <w:gridCol w:w="12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МТР (марка, основные. характеристики)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 выпуска (производства) МТР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Идентификационные учетные данные МТР (гос. регистрац. номер для автотранспорта, инв. №, и т.п.)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Местонахождение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Принадлежность, право собственности или иное право (в случае аренды указать арендодателя)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Предназначение МТР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right="34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Примечание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 xml:space="preserve">Здания и помещения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sz w:val="20"/>
              </w:rPr>
              <w:t xml:space="preserve">Автотранспорт и спецтехника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Компьютеры и оргтехника 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4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Специализированное лицензионное программное обеспечение 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8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ind w:right="34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left="540" w:right="34" w:firstLine="567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                              ____________________________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(Подпись уполномоченного представителя)</w:t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</w:r>
      <w:r>
        <w:rPr>
          <w:bCs/>
          <w:sz w:val="18"/>
          <w:lang w:eastAsia="ar-SA"/>
        </w:rPr>
        <w:tab/>
        <w:t xml:space="preserve">(ФИО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  <w:r>
        <w:rPr>
          <w:sz w:val="20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ab/>
        <w:t xml:space="preserve">МП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shd w:val="clear" w:color="auto" w:fill="ffffff"/>
        <w:widowControl w:val="off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widowControl w:val="off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  <w:r>
        <w:rPr>
          <w:bCs/>
          <w:sz w:val="22"/>
          <w:szCs w:val="22"/>
          <w:lang w:eastAsia="ar-SA"/>
        </w:rPr>
      </w:r>
    </w:p>
    <w:p>
      <w:pPr>
        <w:ind w:right="34" w:firstLine="709"/>
        <w:spacing w:after="120"/>
        <w:widowControl w:val="off"/>
      </w:pPr>
      <w:r>
        <w:t xml:space="preserve">Инструкции по заполнению:</w:t>
      </w:r>
      <w:r/>
    </w:p>
    <w:p>
      <w:pPr>
        <w:numPr>
          <w:ilvl w:val="3"/>
          <w:numId w:val="29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3"/>
          <w:numId w:val="29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В таблице указываются сведения только об основных машинах и механизмах, измерительных и испытательных установках, специальном оборудовании которые будут применяться при выполнении работ согласно договору.</w:t>
      </w:r>
      <w:r/>
    </w:p>
    <w:p>
      <w:pPr>
        <w:numPr>
          <w:ilvl w:val="3"/>
          <w:numId w:val="29"/>
        </w:numPr>
        <w:ind w:left="0" w:right="34" w:firstLine="0"/>
        <w:jc w:val="both"/>
        <w:spacing w:after="120"/>
        <w:widowControl w:val="off"/>
        <w:tabs>
          <w:tab w:val="num" w:pos="0" w:leader="none"/>
          <w:tab w:val="left" w:pos="284" w:leader="none"/>
        </w:tabs>
      </w:pPr>
      <w:r>
        <w:t xml:space="preserve">Обязательны</w:t>
      </w:r>
      <w:r>
        <w:t xml:space="preserve">м является указание принадлежности МТР (подрядчик, субподрядчик, аренда и т.п.), с учетом распределения выполнения объемов работ. По всем видам автотранспортной техники необходимо приложить полиса ОСАГО или свидетельства о регистрации транспортных средств.</w:t>
      </w:r>
      <w:r/>
    </w:p>
    <w:p>
      <w:pPr>
        <w:jc w:val="center"/>
        <w:widowControl w:val="off"/>
        <w:rPr>
          <w:b/>
          <w:caps/>
        </w:rPr>
      </w:pPr>
      <w:r>
        <w:br w:type="page" w:clear="all"/>
      </w:r>
      <w:bookmarkStart w:id="256" w:name="_Toc536483777"/>
      <w:r/>
      <w:bookmarkStart w:id="257" w:name="_Toc5779102"/>
      <w:r>
        <w:rPr>
          <w:b/>
          <w:caps/>
        </w:rPr>
        <w:t xml:space="preserve">ФОРМА 9. Справка о кадровых ресурсах</w:t>
      </w:r>
      <w:bookmarkEnd w:id="256"/>
      <w:r/>
      <w:bookmarkEnd w:id="257"/>
      <w:r>
        <w:rPr>
          <w:b/>
          <w:caps/>
        </w:rPr>
      </w:r>
      <w:r>
        <w:rPr>
          <w:b/>
          <w:caps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258" w:name="_Toc307936277"/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Справка о кадровых ресурсах</w:t>
      </w:r>
      <w:bookmarkEnd w:id="258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Участник закупки (генподрядчик): 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>
        <w:t xml:space="preserve">Субподрядчики (члены коллективного участника):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1. ________________________________________________________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2. ________________________________________________________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>
        <w:t xml:space="preserve">…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1. Общая штатная численность персонала и суммарная численность персонала, привлекаемого для выполнения работ по договору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161"/>
        <w:gridCol w:w="1421"/>
        <w:gridCol w:w="1350"/>
        <w:gridCol w:w="1305"/>
        <w:gridCol w:w="1344"/>
        <w:gridCol w:w="1307"/>
        <w:gridCol w:w="1307"/>
      </w:tblGrid>
      <w:tr>
        <w:tblPrEx/>
        <w:trPr>
          <w:tblHeader/>
        </w:trPr>
        <w:tc>
          <w:tcPr>
            <w:tcW w:w="1060" w:type="pct"/>
            <w:vAlign w:val="center"/>
            <w:vMerge w:val="restar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Штатный персонал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35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Генподрядчик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9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2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Субподрядчик (член коллективного участника)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  <w:tblHeader/>
        </w:trPr>
        <w:tc>
          <w:tcPr>
            <w:tcW w:w="1060" w:type="pct"/>
            <w:vAlign w:val="center"/>
            <w:vMerge w:val="continue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численность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т.ч. для работ по данному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Руководящий,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Инженерно-технический,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и специалисты,  в т.ч.: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Рабочие строительных специальностей 3- 6 разрядов,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Электромонтажники-линейщики,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основного электротехнического оборудования,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Электромонтажники оборудования вторичных коммутаций, в т.ч. релейщики и т.п.,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Наладчики, инженеры-наладчики, чел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специальности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0"/>
        </w:trPr>
        <w:tc>
          <w:tcPr>
            <w:tcW w:w="106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62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9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41" w:type="pct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2. Основной персонал рабочих специальностей, привлекаемый для выполнения работ по договору, по видам выполняемых работ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63"/>
        <w:gridCol w:w="2409"/>
        <w:gridCol w:w="1608"/>
        <w:gridCol w:w="1102"/>
        <w:gridCol w:w="2156"/>
        <w:gridCol w:w="2451"/>
      </w:tblGrid>
      <w:tr>
        <w:tblPrEx/>
        <w:trPr>
          <w:trHeight w:val="551"/>
          <w:tblHeader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Персонал, (специальность, разряд)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Кол-во, чел.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1. Подготовительные работы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2. Основные объекты строительства.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gridSpan w:val="6"/>
            <w:tcW w:w="5000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27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8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4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0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В таблице 2 указываются сведения </w:t>
      </w:r>
      <w:r>
        <w:rPr>
          <w:b/>
          <w:sz w:val="20"/>
          <w:szCs w:val="20"/>
        </w:rPr>
        <w:t xml:space="preserve">только о персонале основных специальностей, привлекаемом для выполнения работ согласно договору, с указанием работ в соответствии со структурой сводного сметного расчета (по главам)</w:t>
      </w:r>
      <w:r>
        <w:rPr>
          <w:sz w:val="20"/>
          <w:szCs w:val="20"/>
        </w:rPr>
        <w:t xml:space="preserve">. При этом в зависимости от типа объекта и необходимости привлечения персонала определенной специальности, в </w:t>
      </w:r>
      <w:r>
        <w:rPr>
          <w:b/>
          <w:sz w:val="20"/>
          <w:szCs w:val="20"/>
        </w:rPr>
        <w:t xml:space="preserve">обязательном</w:t>
      </w:r>
      <w:r>
        <w:rPr>
          <w:sz w:val="20"/>
          <w:szCs w:val="20"/>
        </w:rPr>
        <w:t xml:space="preserve"> порядке указываются сведения о наличии следующего персонала: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Рабочие строительных специальностей 3- 6 разрядов;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Электромонтажники-линейщики;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основного электротехнического оборудования;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Электромонтажники оборудования вторичных коммутаций;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0"/>
        </w:numPr>
        <w:ind w:left="0" w:firstLine="709"/>
        <w:jc w:val="both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Наладчики, инженеры-наладчики.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Кроме указанных, участник вправе указать персонал иных специальностей, которые, по его мнению, необходимы для выполнения ра</w:t>
      </w:r>
      <w:r>
        <w:rPr>
          <w:sz w:val="20"/>
          <w:szCs w:val="20"/>
        </w:rPr>
        <w:t xml:space="preserve">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(подрядчик, субподрядчик), с учетом распределения выполнения объемов работ.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3. Сведения о персонале, привлекаемом для выполнения пуско-наладочных работ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40"/>
        <w:gridCol w:w="2007"/>
        <w:gridCol w:w="2445"/>
        <w:gridCol w:w="1597"/>
        <w:gridCol w:w="1767"/>
        <w:gridCol w:w="1933"/>
      </w:tblGrid>
      <w:tr>
        <w:tblPrEx/>
        <w:trPr>
          <w:trHeight w:val="551"/>
          <w:tblHeader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9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24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72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Таблица 4. Сведения о персонале, привлекаемом для выполнения проектных работ (разработки проектной и рабочей документации)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40"/>
        <w:gridCol w:w="1999"/>
        <w:gridCol w:w="2460"/>
        <w:gridCol w:w="1597"/>
        <w:gridCol w:w="1768"/>
        <w:gridCol w:w="1925"/>
      </w:tblGrid>
      <w:tr>
        <w:tblPrEx/>
        <w:trPr>
          <w:trHeight w:val="551"/>
          <w:tblHeader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специалиста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(какое учебное заведение окончил, год окончания, специальность)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Специальность, должность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Стаж работы в данной или аналогичной должности, лет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Принадлежность персонала (генподрядчик, субподрядчик, член коллективного участника)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5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7"/>
        </w:trPr>
        <w:tc>
          <w:tcPr>
            <w:tcW w:w="216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005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3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91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68" w:type="pct"/>
            <w:vAlign w:val="center"/>
            <w:textDirection w:val="lrTb"/>
            <w:noWrap w:val="false"/>
          </w:tcPr>
          <w:p>
            <w:pPr>
              <w:ind w:firstLine="33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941"/>
        <w:gridCol w:w="1227"/>
        <w:gridCol w:w="4209"/>
      </w:tblGrid>
      <w:tr>
        <w:tblPrEx/>
        <w:trPr/>
        <w:tc>
          <w:tcPr>
            <w:tcBorders>
              <w:bottom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80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5220" w:type="dxa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М. П.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</w:t>
      </w:r>
      <w:r>
        <w:rPr>
          <w:sz w:val="20"/>
          <w:szCs w:val="20"/>
        </w:rPr>
        <w:t xml:space="preserve">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</w:t>
      </w:r>
      <w:r>
        <w:rPr>
          <w:sz w:val="20"/>
          <w:szCs w:val="20"/>
        </w:rPr>
        <w:t xml:space="preserve">о, паспортные данные, адрес прописки (индивидуальный предприниматель – адрес регистрации), наименования (в т.ч.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случае наличия в предмете закупки требуемых работ, заполняются таблицы 3, 4. При отсутствии данного вида работ в таблице приводятся слова «не требуется».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31"/>
        </w:numPr>
        <w:ind w:left="0" w:firstLine="720"/>
        <w:jc w:val="both"/>
        <w:widowControl w:val="off"/>
        <w:tabs>
          <w:tab w:val="clear" w:pos="720" w:leader="none"/>
          <w:tab w:val="num" w:pos="1080" w:leader="none"/>
        </w:tabs>
        <w:rPr>
          <w:bCs/>
          <w:iCs/>
          <w:sz w:val="20"/>
          <w:szCs w:val="20"/>
        </w:rPr>
      </w:pPr>
      <w:r>
        <w:rPr>
          <w:bCs/>
          <w:iCs/>
          <w:color w:val="000000"/>
          <w:sz w:val="20"/>
          <w:szCs w:val="20"/>
        </w:rPr>
        <w:t xml:space="preserve">Данная форма требуется в составе документации о закупке только в случае проведения процедур на право заключения договора на строительство (реконструкцию) </w:t>
      </w:r>
      <w:r>
        <w:rPr>
          <w:sz w:val="20"/>
          <w:szCs w:val="20"/>
        </w:rPr>
        <w:t xml:space="preserve">объектов</w:t>
      </w:r>
      <w:r>
        <w:rPr>
          <w:bCs/>
          <w:iCs/>
          <w:color w:val="000000"/>
          <w:sz w:val="20"/>
          <w:szCs w:val="20"/>
        </w:rPr>
        <w:t xml:space="preserve">.</w:t>
      </w:r>
      <w:r>
        <w:rPr>
          <w:bCs/>
          <w:iCs/>
          <w:sz w:val="20"/>
          <w:szCs w:val="20"/>
        </w:rPr>
      </w:r>
      <w:r>
        <w:rPr>
          <w:bCs/>
          <w:iCs/>
          <w:sz w:val="20"/>
          <w:szCs w:val="20"/>
        </w:rPr>
      </w:r>
    </w:p>
    <w:p>
      <w:pPr>
        <w:pStyle w:val="1055"/>
        <w:jc w:val="center"/>
        <w:keepNext w:val="0"/>
        <w:spacing w:after="0"/>
        <w:widowControl w:val="off"/>
        <w:rPr>
          <w:sz w:val="24"/>
          <w:szCs w:val="24"/>
          <w:highlight w:val="red"/>
          <w:lang w:val="ru-RU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  <w:r>
        <w:rPr>
          <w:sz w:val="24"/>
          <w:szCs w:val="24"/>
          <w:highlight w:val="red"/>
          <w:lang w:val="ru-RU"/>
        </w:rPr>
      </w:r>
    </w:p>
    <w:p>
      <w:pPr>
        <w:pStyle w:val="1055"/>
        <w:ind w:left="567"/>
        <w:jc w:val="center"/>
        <w:pageBreakBefore/>
        <w:spacing w:after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  <w:lang w:val="ru-RU"/>
        </w:rPr>
        <w:t xml:space="preserve">0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ind w:right="34" w:firstLine="567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_________________</w:t>
      </w:r>
      <w:r>
        <w:rPr>
          <w:bCs/>
        </w:rPr>
      </w:r>
      <w:r>
        <w:rPr>
          <w:bCs/>
        </w:rPr>
      </w:r>
    </w:p>
    <w:p>
      <w:pPr>
        <w:ind w:right="34" w:firstLine="567"/>
        <w:rPr>
          <w:iCs/>
          <w:sz w:val="22"/>
          <w:szCs w:val="28"/>
          <w:lang w:eastAsia="ar-SA"/>
        </w:rPr>
        <w:outlineLvl w:val="1"/>
      </w:pPr>
      <w:r>
        <w:rPr>
          <w:bCs/>
          <w:iCs/>
          <w:sz w:val="22"/>
          <w:szCs w:val="28"/>
          <w:lang w:eastAsia="ar-SA"/>
        </w:rPr>
        <w:t xml:space="preserve">Наименование и адрес участника __________________________________________</w:t>
      </w:r>
      <w:r>
        <w:rPr>
          <w:iCs/>
          <w:sz w:val="22"/>
          <w:szCs w:val="28"/>
          <w:lang w:eastAsia="ar-SA"/>
        </w:rPr>
      </w:r>
      <w:r>
        <w:rPr>
          <w:iCs/>
          <w:sz w:val="22"/>
          <w:szCs w:val="28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018"/>
        <w:gridCol w:w="2416"/>
        <w:gridCol w:w="2277"/>
        <w:gridCol w:w="1761"/>
        <w:gridCol w:w="1458"/>
        <w:gridCol w:w="1265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spacing w:after="60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  <w:r>
        <w:rPr>
          <w:sz w:val="22"/>
          <w:szCs w:val="28"/>
          <w:lang w:eastAsia="ar-SA"/>
        </w:rPr>
      </w:r>
    </w:p>
    <w:p>
      <w:pPr>
        <w:ind w:right="34" w:firstLine="567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  <w:r>
        <w:rPr>
          <w:sz w:val="20"/>
          <w:szCs w:val="22"/>
          <w:lang w:eastAsia="ar-SA"/>
        </w:rPr>
      </w:r>
    </w:p>
    <w:p>
      <w:pPr>
        <w:ind w:right="34" w:firstLine="567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jc w:val="both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- </w:t>
      </w:r>
      <w:r>
        <w:rPr>
          <w:sz w:val="20"/>
          <w:szCs w:val="20"/>
          <w:lang w:eastAsia="en-US"/>
        </w:rPr>
        <w:t xml:space="preserve">перечень, долю в процентном выражении и стоимость</w:t>
      </w:r>
      <w:r>
        <w:rPr>
          <w:sz w:val="20"/>
          <w:szCs w:val="20"/>
          <w:lang w:val="en-US" w:eastAsia="en-US"/>
        </w:rPr>
        <w:t xml:space="preserve">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  <w:lang w:val="en-US" w:eastAsia="en-US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3"/>
          <w:numId w:val="33"/>
        </w:numPr>
        <w:ind w:left="0" w:right="34" w:firstLine="0"/>
        <w:jc w:val="both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jc w:val="center"/>
        <w:tabs>
          <w:tab w:val="left" w:pos="1134" w:leader="none"/>
        </w:tabs>
        <w:rPr>
          <w:b/>
          <w:caps/>
        </w:rPr>
      </w:pPr>
      <w:r>
        <w:rPr>
          <w:sz w:val="20"/>
          <w:szCs w:val="20"/>
        </w:rPr>
        <w:br w:type="page" w:clear="all"/>
      </w:r>
      <w:r>
        <w:rPr>
          <w:b/>
          <w:caps/>
        </w:rPr>
        <w:t xml:space="preserve">ФОРМА 11. Сведения о распределении объемов поставок, работ (услуг) между членами коллективного участника</w:t>
      </w:r>
      <w:r>
        <w:rPr>
          <w:b/>
          <w:caps/>
        </w:rPr>
      </w:r>
      <w:r>
        <w:rPr>
          <w:b/>
          <w:caps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>
        <w:rPr>
          <w:b/>
          <w:bCs/>
          <w:iCs/>
        </w:rPr>
        <w:t xml:space="preserve">Сведения о распределении выполнения объемов поставок, работ, услуг между коллективными участниками</w:t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ind w:right="34" w:firstLine="567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rPr>
          <w:bCs/>
        </w:rPr>
        <w:outlineLvl w:val="1"/>
      </w:pPr>
      <w:r>
        <w:rPr>
          <w:bCs/>
        </w:rPr>
        <w:t xml:space="preserve">Способ и наименование закупки, с указанием № на ЭП ________________</w:t>
      </w:r>
      <w:r>
        <w:rPr>
          <w:bCs/>
        </w:rPr>
      </w:r>
      <w:r>
        <w:rPr>
          <w:bCs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  <w:t xml:space="preserve">Наименование участника __________________________________________</w:t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p>
      <w:pPr>
        <w:ind w:right="34" w:firstLine="709"/>
        <w:rPr>
          <w:bCs/>
          <w:iCs/>
          <w:szCs w:val="28"/>
        </w:rPr>
        <w:outlineLvl w:val="1"/>
      </w:pPr>
      <w:r>
        <w:rPr>
          <w:bCs/>
          <w:iCs/>
          <w:szCs w:val="28"/>
        </w:rPr>
      </w:r>
      <w:r>
        <w:rPr>
          <w:bCs/>
          <w:iCs/>
          <w:szCs w:val="28"/>
        </w:rPr>
      </w:r>
      <w:r>
        <w:rPr>
          <w:bCs/>
          <w:iCs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159"/>
        <w:gridCol w:w="2364"/>
        <w:gridCol w:w="2233"/>
        <w:gridCol w:w="1734"/>
        <w:gridCol w:w="1447"/>
        <w:gridCol w:w="1258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spacing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ind w:right="34" w:firstLine="567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  <w:r>
        <w:rPr>
          <w:bCs/>
          <w:sz w:val="20"/>
        </w:rPr>
      </w:r>
    </w:p>
    <w:p>
      <w:pPr>
        <w:ind w:right="34" w:firstLine="56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34" w:firstLine="709"/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right="34" w:firstLine="709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 w:firstLine="709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</w:rPr>
        <w:t xml:space="preserve">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4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55"/>
        <w:jc w:val="center"/>
        <w:keepNext w:val="0"/>
        <w:spacing w:after="0"/>
        <w:widowControl w:val="of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055"/>
        <w:ind w:left="567"/>
        <w:jc w:val="center"/>
        <w:pageBreakBefore/>
        <w:spacing w:after="0"/>
        <w:rPr>
          <w:bCs/>
          <w:caps/>
          <w:color w:val="000000"/>
          <w:sz w:val="24"/>
          <w:szCs w:val="24"/>
          <w:lang w:val="ru-RU" w:eastAsia="ru-RU"/>
        </w:rPr>
      </w:pPr>
      <w:r>
        <w:rPr>
          <w:bCs/>
          <w:caps/>
          <w:sz w:val="24"/>
          <w:szCs w:val="24"/>
          <w:lang w:val="ru-RU" w:eastAsia="ru-RU"/>
        </w:rPr>
        <w:t xml:space="preserve">ФОРМА 12. независимая гарантия</w:t>
      </w:r>
      <w:r>
        <w:rPr>
          <w:bCs/>
          <w:caps/>
          <w:color w:val="000000"/>
          <w:sz w:val="24"/>
          <w:szCs w:val="24"/>
          <w:lang w:val="ru-RU" w:eastAsia="ru-RU"/>
        </w:rPr>
        <w:t xml:space="preserve"> на исполнение обязательств по договору</w:t>
      </w:r>
      <w:r>
        <w:rPr>
          <w:bCs/>
          <w:caps/>
          <w:color w:val="000000"/>
          <w:sz w:val="24"/>
          <w:szCs w:val="24"/>
          <w:lang w:val="ru-RU" w:eastAsia="ru-RU"/>
        </w:rPr>
      </w:r>
      <w:r>
        <w:rPr>
          <w:bCs/>
          <w:caps/>
          <w:color w:val="000000"/>
          <w:sz w:val="24"/>
          <w:szCs w:val="24"/>
          <w:lang w:val="ru-RU" w:eastAsia="ru-RU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ind w:left="4962"/>
        <w:jc w:val="both"/>
        <w:widowControl w:val="off"/>
        <w:rPr>
          <w:rFonts w:eastAsia="Calibri"/>
          <w:b/>
          <w:bCs/>
          <w:color w:val="000000"/>
          <w:highlight w:val="white"/>
        </w:rPr>
      </w:pP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  <w:r>
        <w:rPr>
          <w:rFonts w:eastAsia="Calibri"/>
          <w:b/>
          <w:bCs/>
          <w:color w:val="000000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rStyle w:val="1248"/>
          <w:b/>
          <w:bCs/>
          <w:sz w:val="26"/>
          <w:szCs w:val="26"/>
          <w:highlight w:val="white"/>
        </w:rPr>
        <w:t xml:space="preserve">НЕЗАВИСИМАЯ ГАРАНТИЯ № ______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г. ________</w:t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</w:r>
      <w:r>
        <w:rPr>
          <w:rStyle w:val="1248"/>
          <w:sz w:val="26"/>
          <w:szCs w:val="26"/>
          <w:highlight w:val="white"/>
        </w:rPr>
        <w:tab/>
        <w:t xml:space="preserve">           «___»___________20__ г.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 _____________________ (</w:t>
      </w:r>
      <w:r>
        <w:rPr>
          <w:rStyle w:val="1248"/>
          <w:i/>
          <w:iCs/>
          <w:sz w:val="26"/>
          <w:szCs w:val="26"/>
          <w:highlight w:val="white"/>
        </w:rPr>
        <w:t xml:space="preserve">полное или сокращенное</w:t>
      </w:r>
      <w:r>
        <w:rPr>
          <w:rStyle w:val="1248"/>
          <w:sz w:val="26"/>
          <w:szCs w:val="26"/>
          <w:highlight w:val="white"/>
        </w:rPr>
        <w:t xml:space="preserve"> </w:t>
      </w:r>
      <w:r>
        <w:rPr>
          <w:rStyle w:val="1248"/>
          <w:i/>
          <w:iCs/>
          <w:sz w:val="26"/>
          <w:szCs w:val="26"/>
          <w:highlight w:val="white"/>
        </w:rPr>
        <w:t xml:space="preserve">наименование гаранта, ОГРН или ИНН), Генеральная/Универсальная</w:t>
      </w:r>
      <w:r>
        <w:rPr>
          <w:rStyle w:val="1248"/>
          <w:sz w:val="26"/>
          <w:szCs w:val="26"/>
          <w:highlight w:val="white"/>
        </w:rPr>
        <w:t xml:space="preserve"> </w:t>
      </w:r>
      <w:r>
        <w:rPr>
          <w:rStyle w:val="1248"/>
          <w:i/>
          <w:iCs/>
          <w:sz w:val="26"/>
          <w:szCs w:val="26"/>
          <w:highlight w:val="white"/>
        </w:rPr>
        <w:t xml:space="preserve">(выбрать нужное)</w:t>
      </w:r>
      <w:r>
        <w:rPr>
          <w:rStyle w:val="1248"/>
          <w:sz w:val="26"/>
          <w:szCs w:val="26"/>
          <w:highlight w:val="white"/>
        </w:rPr>
        <w:t xml:space="preserve"> лицензия на осуществление банковских операций от _</w:t>
      </w:r>
      <w:r>
        <w:rPr>
          <w:rStyle w:val="1248"/>
          <w:i/>
          <w:iCs/>
          <w:sz w:val="26"/>
          <w:szCs w:val="26"/>
          <w:highlight w:val="white"/>
        </w:rPr>
        <w:t xml:space="preserve">____ </w:t>
      </w:r>
      <w:r>
        <w:rPr>
          <w:rStyle w:val="1248"/>
          <w:sz w:val="26"/>
          <w:szCs w:val="26"/>
          <w:highlight w:val="white"/>
        </w:rPr>
        <w:t xml:space="preserve">года № </w:t>
      </w:r>
      <w:r>
        <w:rPr>
          <w:rStyle w:val="1248"/>
          <w:i/>
          <w:iCs/>
          <w:sz w:val="26"/>
          <w:szCs w:val="26"/>
          <w:highlight w:val="white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248"/>
          <w:i/>
          <w:iCs/>
          <w:sz w:val="26"/>
          <w:szCs w:val="26"/>
          <w:highlight w:val="white"/>
          <w:vertAlign w:val="superscript"/>
        </w:rPr>
        <w:footnoteReference w:id="5"/>
      </w:r>
      <w:r>
        <w:rPr>
          <w:rStyle w:val="1248"/>
          <w:i/>
          <w:iCs/>
          <w:sz w:val="26"/>
          <w:szCs w:val="26"/>
          <w:highlight w:val="white"/>
        </w:rPr>
        <w:t xml:space="preserve"> ),</w:t>
      </w:r>
      <w:r>
        <w:rPr>
          <w:rStyle w:val="1248"/>
          <w:sz w:val="26"/>
          <w:szCs w:val="26"/>
          <w:highlight w:val="white"/>
        </w:rPr>
        <w:t xml:space="preserve"> именуемое в дальнейшем «Гарант», в лице _____________________________________ (</w:t>
      </w:r>
      <w:r>
        <w:rPr>
          <w:rStyle w:val="1248"/>
          <w:i/>
          <w:iCs/>
          <w:sz w:val="26"/>
          <w:szCs w:val="26"/>
          <w:highlight w:val="white"/>
        </w:rPr>
        <w:t xml:space="preserve">полностью Ф.</w:t>
      </w:r>
      <w:r>
        <w:rPr>
          <w:rStyle w:val="1248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48"/>
          <w:i/>
          <w:iCs/>
          <w:sz w:val="26"/>
          <w:szCs w:val="26"/>
          <w:highlight w:val="white"/>
        </w:rPr>
        <w:t xml:space="preserve">И.</w:t>
      </w:r>
      <w:r>
        <w:rPr>
          <w:rStyle w:val="1248"/>
          <w:i/>
          <w:iCs/>
          <w:sz w:val="26"/>
          <w:szCs w:val="26"/>
          <w:highlight w:val="white"/>
          <w:lang w:val="en-US"/>
        </w:rPr>
        <w:t xml:space="preserve"> </w:t>
      </w:r>
      <w:r>
        <w:rPr>
          <w:rStyle w:val="1248"/>
          <w:i/>
          <w:iCs/>
          <w:sz w:val="26"/>
          <w:szCs w:val="26"/>
          <w:highlight w:val="white"/>
        </w:rPr>
        <w:t xml:space="preserve">О. уполномоченного действовать от имени гаранта лица),</w:t>
      </w:r>
      <w:r>
        <w:rPr>
          <w:rStyle w:val="1248"/>
          <w:sz w:val="26"/>
          <w:szCs w:val="26"/>
          <w:highlight w:val="white"/>
        </w:rPr>
        <w:t xml:space="preserve"> действующего на основании </w:t>
      </w:r>
      <w:r>
        <w:rPr>
          <w:rStyle w:val="1248"/>
          <w:i/>
          <w:iCs/>
          <w:sz w:val="26"/>
          <w:szCs w:val="26"/>
          <w:highlight w:val="white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248"/>
          <w:sz w:val="26"/>
          <w:szCs w:val="26"/>
          <w:highlight w:val="white"/>
        </w:rPr>
        <w:t xml:space="preserve">)</w:t>
      </w:r>
      <w:r>
        <w:rPr>
          <w:rStyle w:val="1248"/>
          <w:i/>
          <w:iCs/>
          <w:sz w:val="26"/>
          <w:szCs w:val="26"/>
          <w:highlight w:val="white"/>
        </w:rPr>
        <w:t xml:space="preserve">, </w:t>
      </w:r>
      <w:r>
        <w:rPr>
          <w:rStyle w:val="1248"/>
          <w:sz w:val="26"/>
          <w:szCs w:val="26"/>
          <w:highlight w:val="white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248"/>
          <w:i/>
          <w:iCs/>
          <w:sz w:val="26"/>
          <w:szCs w:val="26"/>
          <w:highlight w:val="white"/>
        </w:rPr>
        <w:t xml:space="preserve">наименование бенефициара, ОГРН и/или ИНН)</w:t>
      </w:r>
      <w:r>
        <w:rPr>
          <w:rStyle w:val="1248"/>
          <w:sz w:val="26"/>
          <w:szCs w:val="26"/>
          <w:highlight w:val="white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248"/>
          <w:i/>
          <w:iCs/>
          <w:sz w:val="26"/>
          <w:szCs w:val="26"/>
          <w:highlight w:val="white"/>
        </w:rPr>
        <w:t xml:space="preserve">(сумма цифрами и прописью),</w:t>
      </w:r>
      <w:r>
        <w:rPr>
          <w:rStyle w:val="1248"/>
          <w:sz w:val="26"/>
          <w:szCs w:val="26"/>
          <w:highlight w:val="white"/>
        </w:rPr>
        <w:t xml:space="preserve"> по получении письменного требования Бенефициара, указывающего, что ___________________ </w:t>
      </w:r>
      <w:r>
        <w:rPr>
          <w:rStyle w:val="1248"/>
          <w:i/>
          <w:iCs/>
          <w:sz w:val="26"/>
          <w:szCs w:val="26"/>
          <w:highlight w:val="white"/>
        </w:rPr>
        <w:t xml:space="preserve">(полное или сокращенное</w:t>
      </w:r>
      <w:r>
        <w:rPr>
          <w:rStyle w:val="1248"/>
          <w:sz w:val="26"/>
          <w:szCs w:val="26"/>
          <w:highlight w:val="white"/>
        </w:rPr>
        <w:t xml:space="preserve"> </w:t>
      </w:r>
      <w:r>
        <w:rPr>
          <w:rStyle w:val="1248"/>
          <w:i/>
          <w:iCs/>
          <w:sz w:val="26"/>
          <w:szCs w:val="26"/>
          <w:highlight w:val="white"/>
        </w:rPr>
        <w:t xml:space="preserve">наименование, ОГРН или ИНН )</w:t>
      </w:r>
      <w:r>
        <w:rPr>
          <w:rStyle w:val="1248"/>
          <w:sz w:val="26"/>
          <w:szCs w:val="26"/>
          <w:highlight w:val="white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248"/>
          <w:i/>
          <w:iCs/>
          <w:sz w:val="26"/>
          <w:szCs w:val="26"/>
          <w:highlight w:val="white"/>
        </w:rPr>
        <w:t xml:space="preserve">по договору, который будет заключен по результатам определения п</w:t>
      </w:r>
      <w:r>
        <w:rPr>
          <w:rStyle w:val="1248"/>
          <w:i/>
          <w:iCs/>
          <w:sz w:val="26"/>
          <w:szCs w:val="26"/>
          <w:highlight w:val="white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248"/>
          <w:sz w:val="26"/>
          <w:szCs w:val="26"/>
          <w:highlight w:val="white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  <w:highlight w:val="white"/>
        </w:rPr>
      </w:r>
      <w:r>
        <w:rPr>
          <w:i/>
          <w:iCs/>
          <w:sz w:val="26"/>
          <w:szCs w:val="26"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*Примечание: 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249"/>
          <w:highlight w:val="white"/>
        </w:rPr>
        <w:t xml:space="preserve"> «</w:t>
      </w:r>
      <w:r>
        <w:rPr>
          <w:rStyle w:val="1248"/>
          <w:i/>
          <w:iCs/>
          <w:highlight w:val="white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- в случае заключения договора на основании решения иног</w:t>
      </w:r>
      <w:r>
        <w:rPr>
          <w:rStyle w:val="1248"/>
          <w:i/>
          <w:iCs/>
          <w:highlight w:val="white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8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Гарант по получении от Бенефициара письм</w:t>
      </w:r>
      <w:r>
        <w:rPr>
          <w:rStyle w:val="1248"/>
          <w:sz w:val="26"/>
          <w:szCs w:val="26"/>
          <w:highlight w:val="white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248"/>
          <w:sz w:val="26"/>
          <w:szCs w:val="26"/>
          <w:highlight w:val="white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Письменное требование платежа должно быть направлено Гаранту</w:t>
      </w:r>
      <w:r>
        <w:rPr>
          <w:rStyle w:val="1248"/>
          <w:sz w:val="26"/>
          <w:szCs w:val="26"/>
          <w:highlight w:val="white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i/>
          <w:iCs/>
          <w:highlight w:val="white"/>
        </w:rPr>
      </w:pPr>
      <w:r>
        <w:rPr>
          <w:rStyle w:val="1248"/>
          <w:i/>
          <w:iCs/>
          <w:highlight w:val="white"/>
        </w:rPr>
        <w:t xml:space="preserve">**Примечание: в случае первоначального предоставлен</w:t>
      </w:r>
      <w:r>
        <w:rPr>
          <w:rStyle w:val="1248"/>
          <w:i/>
          <w:iCs/>
          <w:highlight w:val="white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Письменное согласие Бенефициар</w:t>
      </w:r>
      <w:r>
        <w:rPr>
          <w:rStyle w:val="1248"/>
          <w:sz w:val="26"/>
          <w:szCs w:val="26"/>
          <w:highlight w:val="white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248"/>
          <w:sz w:val="26"/>
          <w:szCs w:val="26"/>
          <w:highlight w:val="white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248"/>
          <w:i/>
          <w:iCs/>
          <w:sz w:val="26"/>
          <w:szCs w:val="26"/>
          <w:highlight w:val="white"/>
        </w:rPr>
        <w:t xml:space="preserve">(указывается арбитражный суд по месту нахождения бенефициара)</w:t>
      </w:r>
      <w:r>
        <w:rPr>
          <w:rStyle w:val="1248"/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sz w:val="26"/>
                <w:szCs w:val="26"/>
                <w:highlight w:val="white"/>
              </w:rPr>
              <w:t xml:space="preserve">Представитель </w:t>
            </w: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______________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(наименование Гаранта)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highlight w:val="white"/>
              </w:rPr>
            </w:pPr>
            <w:r>
              <w:rPr>
                <w:rStyle w:val="1248"/>
                <w:i/>
                <w:iCs/>
                <w:sz w:val="26"/>
                <w:szCs w:val="26"/>
                <w:highlight w:val="white"/>
              </w:rPr>
              <w:t xml:space="preserve">(Ф. И. О.)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both"/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widowControl w:val="off"/>
        <w:rPr>
          <w:sz w:val="26"/>
          <w:szCs w:val="26"/>
          <w:highlight w:val="white"/>
        </w:rPr>
      </w:pPr>
      <w:r>
        <w:rPr>
          <w:rStyle w:val="1248"/>
          <w:sz w:val="26"/>
          <w:szCs w:val="26"/>
          <w:highlight w:val="white"/>
        </w:rPr>
        <w:t xml:space="preserve">                   м.п.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highlight w:val="white"/>
        </w:rPr>
        <w:outlineLvl w:val="0"/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  <w:t xml:space="preserve">ПРОЕКТ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96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896"/>
        <w:ind w:firstLine="567"/>
        <w:jc w:val="left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ТЕХНИЧЕСКАЯ ЧАСТЬ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20"/>
        <w:jc w:val="both"/>
        <w:tabs>
          <w:tab w:val="left" w:pos="0" w:leader="none"/>
          <w:tab w:val="left" w:pos="851" w:leader="none"/>
          <w:tab w:val="left" w:pos="1134" w:leader="none"/>
        </w:tabs>
      </w:pPr>
      <w:r>
        <w:t xml:space="preserve">В соответствии с Приложением № 2 к извещению о закупке.</w:t>
      </w:r>
      <w:r/>
    </w:p>
    <w:p>
      <w:pPr>
        <w:jc w:val="both"/>
        <w:tabs>
          <w:tab w:val="left" w:pos="0" w:leader="none"/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6"/>
        <w:numPr>
          <w:ilvl w:val="0"/>
          <w:numId w:val="3"/>
        </w:numPr>
        <w:ind w:left="0" w:firstLine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b w:val="0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96"/>
        <w:ind w:firstLine="567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b w:val="0"/>
          <w:sz w:val="24"/>
          <w:szCs w:val="24"/>
        </w:rPr>
        <w:t xml:space="preserve"> к извещению о закупке.</w: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Courier">
    <w:panose1 w:val="02060409020205020404"/>
  </w:font>
  <w:font w:name="MS Mincho">
    <w:panose1 w:val="02020503050405090304"/>
  </w:font>
  <w:font w:name="Tahoma">
    <w:panose1 w:val="020B0604030504040204"/>
  </w:font>
  <w:font w:name="TimesDL">
    <w:panose1 w:val="02020603050405020304"/>
  </w:font>
  <w:font w:name="Verdana">
    <w:panose1 w:val="020B0604030504040204"/>
  </w:font>
  <w:font w:name="Arial Narrow">
    <w:panose1 w:val="020B0606020202030204"/>
  </w:font>
  <w:font w:name="Times New Roman">
    <w:panose1 w:val="02020603050405020304"/>
  </w:font>
  <w:font w:name="Cambria">
    <w:panose1 w:val="02040503050406030204"/>
  </w:font>
  <w:font w:name="Calibri Light">
    <w:panose1 w:val="020F0302020204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rPr>
        <w:rStyle w:val="1062"/>
      </w:rPr>
      <w:framePr w:wrap="around" w:vAnchor="text" w:hAnchor="margin" w:xAlign="right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separate"/>
    </w:r>
    <w:r>
      <w:rPr>
        <w:rStyle w:val="1062"/>
      </w:rPr>
      <w:t xml:space="preserve">14</w: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90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rPr>
        <w:rStyle w:val="1062"/>
      </w:rPr>
      <w:framePr w:wrap="around" w:vAnchor="text" w:hAnchor="margin" w:xAlign="right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906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rPr>
        <w:rStyle w:val="1062"/>
      </w:rPr>
      <w:framePr w:wrap="auto" w:vAnchor="text" w:hAnchor="margin" w:xAlign="right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separate"/>
    </w:r>
    <w:r>
      <w:rPr>
        <w:rStyle w:val="1062"/>
      </w:rPr>
      <w:t xml:space="preserve">22</w: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906"/>
      <w:ind w:right="360"/>
      <w:jc w:val="center"/>
      <w:tabs>
        <w:tab w:val="right" w:pos="9840" w:leader="none"/>
      </w:tabs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24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1039"/>
          <w:sz w:val="20"/>
          <w:szCs w:val="20"/>
        </w:rPr>
        <w:footnoteRef/>
      </w:r>
      <w:r>
        <w:rPr>
          <w:rStyle w:val="1039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1039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5">
    <w:p>
      <w:pPr>
        <w:pStyle w:val="1037"/>
      </w:pPr>
      <w:r>
        <w:rPr>
          <w:rStyle w:val="1248"/>
          <w:i/>
          <w:iCs/>
          <w:sz w:val="26"/>
          <w:szCs w:val="26"/>
          <w:vertAlign w:val="superscript"/>
        </w:rPr>
        <w:t xml:space="preserve">4</w:t>
      </w:r>
      <w:r>
        <w:rPr>
          <w:rStyle w:val="1249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10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thaiNumbers"/>
      <w:pStyle w:val="1244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pStyle w:val="1122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108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13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sz w:val="40"/>
        <w:szCs w:val="40"/>
      </w:rPr>
    </w:lvl>
    <w:lvl w:ilvl="1">
      <w:start w:val="1"/>
      <w:numFmt w:val="decimal"/>
      <w:pStyle w:val="1119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2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pStyle w:val="1083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85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84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1086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1216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sz w:val="24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1">
    <w:multiLevelType w:val="hybridMultilevel"/>
    <w:lvl w:ilvl="0">
      <w:start w:val="1"/>
      <w:numFmt w:val="decimal"/>
      <w:pStyle w:val="105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05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1059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1060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num w:numId="1">
    <w:abstractNumId w:val="41"/>
  </w:num>
  <w:num w:numId="2">
    <w:abstractNumId w:val="20"/>
  </w:num>
  <w:num w:numId="3">
    <w:abstractNumId w:val="40"/>
  </w:num>
  <w:num w:numId="4">
    <w:abstractNumId w:val="29"/>
  </w:num>
  <w:num w:numId="5">
    <w:abstractNumId w:val="23"/>
  </w:num>
  <w:num w:numId="6">
    <w:abstractNumId w:val="36"/>
  </w:num>
  <w:num w:numId="7">
    <w:abstractNumId w:val="35"/>
  </w:num>
  <w:num w:numId="8">
    <w:abstractNumId w:val="31"/>
  </w:num>
  <w:num w:numId="9">
    <w:abstractNumId w:val="0"/>
  </w:num>
  <w:num w:numId="10">
    <w:abstractNumId w:val="5"/>
  </w:num>
  <w:num w:numId="11">
    <w:abstractNumId w:val="14"/>
  </w:num>
  <w:num w:numId="12">
    <w:abstractNumId w:val="2"/>
  </w:num>
  <w:num w:numId="13">
    <w:abstractNumId w:val="1"/>
  </w:num>
  <w:num w:numId="14">
    <w:abstractNumId w:val="13"/>
  </w:num>
  <w:num w:numId="15">
    <w:abstractNumId w:val="16"/>
  </w:num>
  <w:num w:numId="16">
    <w:abstractNumId w:val="10"/>
  </w:num>
  <w:num w:numId="17">
    <w:abstractNumId w:val="32"/>
  </w:num>
  <w:num w:numId="18">
    <w:abstractNumId w:val="4"/>
  </w:num>
  <w:num w:numId="19">
    <w:abstractNumId w:val="12"/>
  </w:num>
  <w:num w:numId="20">
    <w:abstractNumId w:val="9"/>
  </w:num>
  <w:num w:numId="21">
    <w:abstractNumId w:val="22"/>
  </w:num>
  <w:num w:numId="22">
    <w:abstractNumId w:val="15"/>
  </w:num>
  <w:num w:numId="23">
    <w:abstractNumId w:val="27"/>
  </w:num>
  <w:num w:numId="24">
    <w:abstractNumId w:val="21"/>
  </w:num>
  <w:num w:numId="25">
    <w:abstractNumId w:val="34"/>
  </w:num>
  <w:num w:numId="26">
    <w:abstractNumId w:val="30"/>
  </w:num>
  <w:num w:numId="27">
    <w:abstractNumId w:val="3"/>
  </w:num>
  <w:num w:numId="28">
    <w:abstractNumId w:val="33"/>
  </w:num>
  <w:num w:numId="29">
    <w:abstractNumId w:val="26"/>
  </w:num>
  <w:num w:numId="30">
    <w:abstractNumId w:val="24"/>
  </w:num>
  <w:num w:numId="31">
    <w:abstractNumId w:val="19"/>
  </w:num>
  <w:num w:numId="32">
    <w:abstractNumId w:val="8"/>
  </w:num>
  <w:num w:numId="33">
    <w:abstractNumId w:val="2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11"/>
  </w:num>
  <w:num w:numId="38">
    <w:abstractNumId w:val="38"/>
  </w:num>
  <w:num w:numId="39">
    <w:abstractNumId w:val="18"/>
  </w:num>
  <w:num w:numId="40">
    <w:abstractNumId w:val="25"/>
  </w:num>
  <w:num w:numId="41">
    <w:abstractNumId w:val="37"/>
  </w:num>
  <w:num w:numId="42">
    <w:abstractNumId w:val="39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8">
    <w:name w:val="Heading 1 Char"/>
    <w:basedOn w:val="882"/>
    <w:link w:val="873"/>
    <w:uiPriority w:val="9"/>
    <w:rPr>
      <w:rFonts w:ascii="Arial" w:hAnsi="Arial" w:eastAsia="Arial" w:cs="Arial"/>
      <w:sz w:val="40"/>
      <w:szCs w:val="40"/>
    </w:rPr>
  </w:style>
  <w:style w:type="character" w:styleId="869">
    <w:name w:val="Heading 2 Char"/>
    <w:basedOn w:val="882"/>
    <w:link w:val="874"/>
    <w:uiPriority w:val="9"/>
    <w:rPr>
      <w:rFonts w:ascii="Arial" w:hAnsi="Arial" w:eastAsia="Arial" w:cs="Arial"/>
      <w:sz w:val="34"/>
    </w:rPr>
  </w:style>
  <w:style w:type="character" w:styleId="870">
    <w:name w:val="Quote Char"/>
    <w:link w:val="900"/>
    <w:uiPriority w:val="29"/>
    <w:rPr>
      <w:i/>
    </w:rPr>
  </w:style>
  <w:style w:type="character" w:styleId="871">
    <w:name w:val="Intense Quote Char"/>
    <w:link w:val="902"/>
    <w:uiPriority w:val="30"/>
    <w:rPr>
      <w:i/>
    </w:rPr>
  </w:style>
  <w:style w:type="paragraph" w:styleId="872" w:default="1">
    <w:name w:val="Normal"/>
    <w:qFormat/>
    <w:rPr>
      <w:sz w:val="24"/>
      <w:szCs w:val="24"/>
      <w:lang w:eastAsia="ru-RU"/>
    </w:rPr>
  </w:style>
  <w:style w:type="paragraph" w:styleId="873">
    <w:name w:val="Heading 1"/>
    <w:basedOn w:val="872"/>
    <w:next w:val="872"/>
    <w:link w:val="8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74">
    <w:name w:val="Heading 2"/>
    <w:basedOn w:val="872"/>
    <w:next w:val="872"/>
    <w:link w:val="8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75">
    <w:name w:val="Heading 3"/>
    <w:basedOn w:val="872"/>
    <w:next w:val="872"/>
    <w:link w:val="1106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876">
    <w:name w:val="Heading 4"/>
    <w:basedOn w:val="872"/>
    <w:next w:val="872"/>
    <w:link w:val="1091"/>
    <w:uiPriority w:val="99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77">
    <w:name w:val="Heading 5"/>
    <w:basedOn w:val="872"/>
    <w:next w:val="872"/>
    <w:link w:val="1100"/>
    <w:uiPriority w:val="99"/>
    <w:qFormat/>
    <w:pPr>
      <w:jc w:val="both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78">
    <w:name w:val="Heading 6"/>
    <w:basedOn w:val="872"/>
    <w:next w:val="872"/>
    <w:link w:val="1101"/>
    <w:uiPriority w:val="99"/>
    <w:qFormat/>
    <w:pPr>
      <w:ind w:left="1152" w:hanging="1152"/>
      <w:jc w:val="both"/>
      <w:spacing w:before="240" w:after="60"/>
      <w:tabs>
        <w:tab w:val="num" w:pos="1152" w:leader="none"/>
      </w:tabs>
      <w:outlineLvl w:val="5"/>
    </w:pPr>
    <w:rPr>
      <w:i/>
      <w:iCs/>
      <w:sz w:val="20"/>
      <w:szCs w:val="20"/>
      <w:lang w:val="en-US" w:eastAsia="en-US"/>
    </w:rPr>
  </w:style>
  <w:style w:type="paragraph" w:styleId="879">
    <w:name w:val="Heading 7"/>
    <w:basedOn w:val="872"/>
    <w:next w:val="872"/>
    <w:link w:val="1102"/>
    <w:uiPriority w:val="99"/>
    <w:qFormat/>
    <w:pPr>
      <w:ind w:left="1296" w:hanging="1296"/>
      <w:jc w:val="both"/>
      <w:spacing w:before="240" w:after="60"/>
      <w:tabs>
        <w:tab w:val="num" w:pos="1296" w:leader="none"/>
      </w:tabs>
      <w:outlineLvl w:val="6"/>
    </w:pPr>
    <w:rPr>
      <w:rFonts w:ascii="Arial" w:hAnsi="Arial"/>
      <w:sz w:val="20"/>
      <w:szCs w:val="20"/>
      <w:lang w:val="en-US" w:eastAsia="en-US"/>
    </w:rPr>
  </w:style>
  <w:style w:type="paragraph" w:styleId="880">
    <w:name w:val="Heading 8"/>
    <w:basedOn w:val="872"/>
    <w:next w:val="872"/>
    <w:link w:val="1103"/>
    <w:uiPriority w:val="99"/>
    <w:qFormat/>
    <w:pPr>
      <w:ind w:left="1440" w:hanging="1440"/>
      <w:jc w:val="both"/>
      <w:spacing w:before="240" w:after="60"/>
      <w:tabs>
        <w:tab w:val="num" w:pos="1440" w:leader="none"/>
      </w:tabs>
      <w:outlineLvl w:val="7"/>
    </w:pPr>
    <w:rPr>
      <w:rFonts w:ascii="Arial" w:hAnsi="Arial"/>
      <w:i/>
      <w:iCs/>
      <w:sz w:val="20"/>
      <w:szCs w:val="20"/>
      <w:lang w:val="en-US" w:eastAsia="en-US"/>
    </w:rPr>
  </w:style>
  <w:style w:type="paragraph" w:styleId="881">
    <w:name w:val="Heading 9"/>
    <w:basedOn w:val="872"/>
    <w:next w:val="872"/>
    <w:link w:val="1104"/>
    <w:uiPriority w:val="9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bCs/>
      <w:i/>
      <w:iCs/>
      <w:sz w:val="18"/>
      <w:szCs w:val="18"/>
      <w:lang w:val="en-US" w:eastAsia="en-US"/>
    </w:rPr>
  </w:style>
  <w:style w:type="character" w:styleId="882" w:default="1">
    <w:name w:val="Default Paragraph Font"/>
    <w:uiPriority w:val="1"/>
    <w:semiHidden/>
    <w:unhideWhenUsed/>
  </w:style>
  <w:style w:type="table" w:styleId="8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4" w:default="1">
    <w:name w:val="No List"/>
    <w:uiPriority w:val="99"/>
    <w:semiHidden/>
    <w:unhideWhenUsed/>
  </w:style>
  <w:style w:type="character" w:styleId="885" w:customStyle="1">
    <w:name w:val="Заголовок 1 Знак"/>
    <w:link w:val="873"/>
    <w:uiPriority w:val="9"/>
    <w:rPr>
      <w:rFonts w:ascii="Arial" w:hAnsi="Arial" w:eastAsia="Arial" w:cs="Arial"/>
      <w:sz w:val="40"/>
      <w:szCs w:val="40"/>
    </w:rPr>
  </w:style>
  <w:style w:type="character" w:styleId="886" w:customStyle="1">
    <w:name w:val="Заголовок 2 Знак"/>
    <w:link w:val="874"/>
    <w:uiPriority w:val="9"/>
    <w:rPr>
      <w:rFonts w:ascii="Arial" w:hAnsi="Arial" w:eastAsia="Arial" w:cs="Arial"/>
      <w:sz w:val="34"/>
    </w:rPr>
  </w:style>
  <w:style w:type="character" w:styleId="887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88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89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90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91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2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893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94">
    <w:name w:val="List Paragraph"/>
    <w:basedOn w:val="872"/>
    <w:uiPriority w:val="34"/>
    <w:qFormat/>
    <w:pPr>
      <w:contextualSpacing/>
      <w:ind w:left="720"/>
    </w:pPr>
  </w:style>
  <w:style w:type="paragraph" w:styleId="895">
    <w:name w:val="No Spacing"/>
    <w:uiPriority w:val="1"/>
    <w:qFormat/>
    <w:rPr>
      <w:sz w:val="24"/>
      <w:szCs w:val="24"/>
      <w:lang w:eastAsia="ru-RU"/>
    </w:rPr>
  </w:style>
  <w:style w:type="paragraph" w:styleId="896">
    <w:name w:val="Title"/>
    <w:basedOn w:val="872"/>
    <w:next w:val="872"/>
    <w:link w:val="1090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  <w:lang w:val="en-US" w:eastAsia="en-US"/>
    </w:rPr>
  </w:style>
  <w:style w:type="character" w:styleId="897" w:customStyle="1">
    <w:name w:val="Title Char"/>
    <w:uiPriority w:val="10"/>
    <w:rPr>
      <w:sz w:val="48"/>
      <w:szCs w:val="48"/>
    </w:rPr>
  </w:style>
  <w:style w:type="paragraph" w:styleId="898">
    <w:name w:val="Subtitle"/>
    <w:basedOn w:val="872"/>
    <w:link w:val="1125"/>
    <w:uiPriority w:val="99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character" w:styleId="899" w:customStyle="1">
    <w:name w:val="Subtitle Char"/>
    <w:uiPriority w:val="11"/>
    <w:rPr>
      <w:sz w:val="24"/>
      <w:szCs w:val="24"/>
    </w:rPr>
  </w:style>
  <w:style w:type="paragraph" w:styleId="900">
    <w:name w:val="Quote"/>
    <w:basedOn w:val="872"/>
    <w:next w:val="872"/>
    <w:link w:val="901"/>
    <w:uiPriority w:val="29"/>
    <w:qFormat/>
    <w:pPr>
      <w:ind w:left="720" w:right="720"/>
    </w:pPr>
    <w:rPr>
      <w:i/>
    </w:rPr>
  </w:style>
  <w:style w:type="character" w:styleId="901" w:customStyle="1">
    <w:name w:val="Цитата 2 Знак"/>
    <w:link w:val="900"/>
    <w:uiPriority w:val="29"/>
    <w:rPr>
      <w:i/>
    </w:rPr>
  </w:style>
  <w:style w:type="paragraph" w:styleId="902">
    <w:name w:val="Intense Quote"/>
    <w:basedOn w:val="872"/>
    <w:next w:val="872"/>
    <w:link w:val="9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3" w:customStyle="1">
    <w:name w:val="Выделенная цитата Знак"/>
    <w:link w:val="902"/>
    <w:uiPriority w:val="30"/>
    <w:rPr>
      <w:i/>
    </w:rPr>
  </w:style>
  <w:style w:type="paragraph" w:styleId="904">
    <w:name w:val="Header"/>
    <w:basedOn w:val="872"/>
    <w:link w:val="1138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5" w:customStyle="1">
    <w:name w:val="Header Char"/>
    <w:uiPriority w:val="99"/>
  </w:style>
  <w:style w:type="paragraph" w:styleId="906">
    <w:name w:val="Footer"/>
    <w:basedOn w:val="872"/>
    <w:link w:val="1140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7" w:customStyle="1">
    <w:name w:val="Footer Char"/>
    <w:uiPriority w:val="99"/>
  </w:style>
  <w:style w:type="paragraph" w:styleId="908">
    <w:name w:val="Caption"/>
    <w:basedOn w:val="872"/>
    <w:next w:val="872"/>
    <w:uiPriority w:val="35"/>
    <w:unhideWhenUsed/>
    <w:qFormat/>
    <w:pPr>
      <w:spacing w:after="200"/>
    </w:pPr>
    <w:rPr>
      <w:rFonts w:ascii="Calibri" w:hAnsi="Calibri" w:eastAsia="Calibri"/>
      <w:b/>
      <w:bCs/>
      <w:color w:val="4f81bd"/>
      <w:sz w:val="18"/>
      <w:szCs w:val="18"/>
      <w:lang w:eastAsia="en-US"/>
    </w:rPr>
  </w:style>
  <w:style w:type="character" w:styleId="909" w:customStyle="1">
    <w:name w:val="Caption Char"/>
    <w:uiPriority w:val="99"/>
  </w:style>
  <w:style w:type="table" w:styleId="910">
    <w:name w:val="Table Grid"/>
    <w:basedOn w:val="883"/>
    <w:uiPriority w:val="59"/>
    <w:tblPr/>
  </w:style>
  <w:style w:type="table" w:styleId="91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4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4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4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4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4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4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5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5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5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5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8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0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6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7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8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9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0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1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2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3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4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5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6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7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8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3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3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3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3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3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6">
    <w:name w:val="Hyperlink"/>
    <w:uiPriority w:val="99"/>
    <w:rPr>
      <w:color w:val="336699"/>
      <w:u w:val="none"/>
    </w:rPr>
  </w:style>
  <w:style w:type="paragraph" w:styleId="1037">
    <w:name w:val="footnote text"/>
    <w:basedOn w:val="872"/>
    <w:link w:val="1092"/>
    <w:uiPriority w:val="99"/>
    <w:unhideWhenUsed/>
    <w:pPr>
      <w:ind w:firstLine="567"/>
      <w:jc w:val="both"/>
    </w:pPr>
    <w:rPr>
      <w:sz w:val="22"/>
      <w:szCs w:val="20"/>
      <w:lang w:val="en-US" w:eastAsia="en-US"/>
    </w:rPr>
  </w:style>
  <w:style w:type="character" w:styleId="1038" w:customStyle="1">
    <w:name w:val="Footnote Text Char"/>
    <w:uiPriority w:val="99"/>
    <w:rPr>
      <w:sz w:val="18"/>
    </w:rPr>
  </w:style>
  <w:style w:type="character" w:styleId="1039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1040">
    <w:name w:val="endnote text"/>
    <w:basedOn w:val="872"/>
    <w:link w:val="1221"/>
    <w:uiPriority w:val="99"/>
    <w:pPr>
      <w:jc w:val="both"/>
      <w:spacing w:after="60"/>
    </w:pPr>
    <w:rPr>
      <w:sz w:val="20"/>
      <w:szCs w:val="20"/>
    </w:rPr>
  </w:style>
  <w:style w:type="character" w:styleId="1041" w:customStyle="1">
    <w:name w:val="Endnote Text Char"/>
    <w:uiPriority w:val="99"/>
    <w:rPr>
      <w:sz w:val="20"/>
    </w:rPr>
  </w:style>
  <w:style w:type="character" w:styleId="1042">
    <w:name w:val="endnote reference"/>
    <w:uiPriority w:val="99"/>
    <w:rPr>
      <w:vertAlign w:val="superscript"/>
    </w:rPr>
  </w:style>
  <w:style w:type="paragraph" w:styleId="1043">
    <w:name w:val="toc 1"/>
    <w:basedOn w:val="872"/>
    <w:next w:val="87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044">
    <w:name w:val="toc 2"/>
    <w:basedOn w:val="872"/>
    <w:next w:val="872"/>
    <w:uiPriority w:val="39"/>
    <w:pPr>
      <w:ind w:left="240"/>
    </w:pPr>
    <w:rPr>
      <w:smallCaps/>
      <w:sz w:val="20"/>
      <w:szCs w:val="20"/>
    </w:rPr>
  </w:style>
  <w:style w:type="paragraph" w:styleId="1045">
    <w:name w:val="toc 3"/>
    <w:basedOn w:val="872"/>
    <w:next w:val="872"/>
    <w:uiPriority w:val="39"/>
    <w:pPr>
      <w:ind w:left="480"/>
    </w:pPr>
    <w:rPr>
      <w:i/>
      <w:iCs/>
      <w:sz w:val="20"/>
      <w:szCs w:val="20"/>
    </w:rPr>
  </w:style>
  <w:style w:type="paragraph" w:styleId="1046">
    <w:name w:val="toc 4"/>
    <w:basedOn w:val="872"/>
    <w:next w:val="872"/>
    <w:uiPriority w:val="39"/>
    <w:pPr>
      <w:ind w:left="720"/>
    </w:pPr>
    <w:rPr>
      <w:sz w:val="18"/>
      <w:szCs w:val="18"/>
    </w:rPr>
  </w:style>
  <w:style w:type="paragraph" w:styleId="1047">
    <w:name w:val="toc 5"/>
    <w:basedOn w:val="872"/>
    <w:next w:val="872"/>
    <w:uiPriority w:val="39"/>
    <w:pPr>
      <w:ind w:left="960"/>
    </w:pPr>
    <w:rPr>
      <w:sz w:val="18"/>
      <w:szCs w:val="18"/>
    </w:rPr>
  </w:style>
  <w:style w:type="paragraph" w:styleId="1048">
    <w:name w:val="toc 6"/>
    <w:basedOn w:val="872"/>
    <w:next w:val="872"/>
    <w:uiPriority w:val="39"/>
    <w:pPr>
      <w:ind w:left="1200"/>
    </w:pPr>
    <w:rPr>
      <w:sz w:val="18"/>
      <w:szCs w:val="18"/>
    </w:rPr>
  </w:style>
  <w:style w:type="paragraph" w:styleId="1049">
    <w:name w:val="toc 7"/>
    <w:basedOn w:val="872"/>
    <w:next w:val="872"/>
    <w:uiPriority w:val="39"/>
    <w:pPr>
      <w:ind w:left="1440"/>
    </w:pPr>
    <w:rPr>
      <w:sz w:val="18"/>
      <w:szCs w:val="18"/>
    </w:rPr>
  </w:style>
  <w:style w:type="paragraph" w:styleId="1050">
    <w:name w:val="toc 8"/>
    <w:basedOn w:val="872"/>
    <w:next w:val="872"/>
    <w:uiPriority w:val="39"/>
    <w:pPr>
      <w:ind w:left="1680"/>
    </w:pPr>
    <w:rPr>
      <w:sz w:val="18"/>
      <w:szCs w:val="18"/>
    </w:rPr>
  </w:style>
  <w:style w:type="paragraph" w:styleId="1051">
    <w:name w:val="toc 9"/>
    <w:basedOn w:val="872"/>
    <w:next w:val="872"/>
    <w:uiPriority w:val="39"/>
    <w:pPr>
      <w:ind w:left="1920"/>
    </w:pPr>
    <w:rPr>
      <w:sz w:val="18"/>
      <w:szCs w:val="18"/>
    </w:rPr>
  </w:style>
  <w:style w:type="paragraph" w:styleId="1052">
    <w:name w:val="TOC Heading"/>
    <w:uiPriority w:val="39"/>
    <w:unhideWhenUsed/>
  </w:style>
  <w:style w:type="paragraph" w:styleId="1053">
    <w:name w:val="table of figures"/>
    <w:basedOn w:val="872"/>
    <w:next w:val="872"/>
    <w:uiPriority w:val="99"/>
    <w:unhideWhenUsed/>
  </w:style>
  <w:style w:type="paragraph" w:styleId="1054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872"/>
    <w:next w:val="872"/>
    <w:link w:val="110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  <w:lang w:val="en-US" w:eastAsia="en-US"/>
    </w:rPr>
  </w:style>
  <w:style w:type="paragraph" w:styleId="1055" w:customStyle="1">
    <w:name w:val="Заголовок 2;Заголовок 2 Знак;H2;H2 Знак;Заголовок 21;2;h2;Б2;RTC;iz2;Numbered text 3;HD2;heading 2;Heading 2 Hidden;Раздел Знак;Заголовок 2 Знак1;2 Знак;Заголовок 2 Знак Знак;Level 2 Topic Heading;H21;Major;CHS;H2-Heading 2;l2;Header2;22;heading2;list2"/>
    <w:basedOn w:val="872"/>
    <w:next w:val="872"/>
    <w:link w:val="1098"/>
    <w:uiPriority w:val="99"/>
    <w:qFormat/>
    <w:pPr>
      <w:keepNext/>
      <w:spacing w:before="360" w:after="120"/>
      <w:outlineLvl w:val="1"/>
    </w:pPr>
    <w:rPr>
      <w:b/>
      <w:sz w:val="32"/>
      <w:szCs w:val="20"/>
      <w:lang w:val="en-US" w:eastAsia="en-US"/>
    </w:rPr>
  </w:style>
  <w:style w:type="character" w:styleId="1056" w:customStyle="1">
    <w:name w:val="Основной шрифт абзаца;Знак2"/>
    <w:link w:val="1081"/>
    <w:semiHidden/>
  </w:style>
  <w:style w:type="character" w:styleId="1057">
    <w:name w:val="FollowedHyperlink"/>
    <w:uiPriority w:val="99"/>
    <w:rPr>
      <w:color w:val="800080"/>
      <w:u w:val="single"/>
    </w:rPr>
  </w:style>
  <w:style w:type="paragraph" w:styleId="1058" w:customStyle="1">
    <w:name w:val="Пункт"/>
    <w:basedOn w:val="872"/>
    <w:link w:val="1232"/>
    <w:pPr>
      <w:numPr>
        <w:ilvl w:val="2"/>
        <w:numId w:val="1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1059" w:customStyle="1">
    <w:name w:val="Подпункт"/>
    <w:basedOn w:val="1058"/>
    <w:pPr>
      <w:numPr>
        <w:ilvl w:val="3"/>
      </w:numPr>
    </w:pPr>
  </w:style>
  <w:style w:type="paragraph" w:styleId="1060" w:customStyle="1">
    <w:name w:val="Подподпункт"/>
    <w:basedOn w:val="1059"/>
    <w:pPr>
      <w:numPr>
        <w:ilvl w:val="4"/>
      </w:numPr>
    </w:pPr>
  </w:style>
  <w:style w:type="character" w:styleId="1061" w:customStyle="1">
    <w:name w:val="Основной текст Знак"/>
    <w:link w:val="1131"/>
    <w:uiPriority w:val="99"/>
    <w:rPr>
      <w:sz w:val="28"/>
      <w:szCs w:val="28"/>
      <w:lang w:val="ru-RU" w:eastAsia="ru-RU"/>
    </w:rPr>
  </w:style>
  <w:style w:type="character" w:styleId="1062">
    <w:name w:val="page number"/>
    <w:basedOn w:val="1056"/>
    <w:uiPriority w:val="99"/>
  </w:style>
  <w:style w:type="paragraph" w:styleId="1063" w:customStyle="1">
    <w:name w:val="3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4" w:customStyle="1">
    <w:name w:val="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5" w:customStyle="1">
    <w:name w:val="Знак1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6" w:customStyle="1">
    <w:name w:val="Знак Знак Знак Знак 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7" w:customStyle="1">
    <w:name w:val="Знак Знак Знак1 Знак 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8" w:customStyle="1">
    <w:name w:val="Знак Знак Знак Знак Знак 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9">
    <w:name w:val="List Number"/>
    <w:basedOn w:val="872"/>
    <w:uiPriority w:val="99"/>
    <w:pPr>
      <w:jc w:val="both"/>
      <w:spacing w:before="60" w:line="360" w:lineRule="auto"/>
    </w:pPr>
    <w:rPr>
      <w:sz w:val="28"/>
    </w:rPr>
  </w:style>
  <w:style w:type="paragraph" w:styleId="1070" w:customStyle="1">
    <w:name w:val="Стиль1 Знак"/>
    <w:basedOn w:val="1059"/>
    <w:link w:val="1071"/>
    <w:pPr>
      <w:numPr>
        <w:ilvl w:val="0"/>
        <w:numId w:val="0"/>
      </w:numPr>
      <w:spacing w:line="240" w:lineRule="auto"/>
    </w:pPr>
    <w:rPr>
      <w:szCs w:val="28"/>
      <w:lang w:val="ru-RU" w:eastAsia="ru-RU"/>
    </w:rPr>
  </w:style>
  <w:style w:type="character" w:styleId="1071" w:customStyle="1">
    <w:name w:val="Стиль1 Знак Знак"/>
    <w:link w:val="1070"/>
    <w:rPr>
      <w:sz w:val="28"/>
      <w:szCs w:val="28"/>
      <w:lang w:val="ru-RU" w:eastAsia="ru-RU" w:bidi="ar-SA"/>
    </w:rPr>
  </w:style>
  <w:style w:type="paragraph" w:styleId="1072" w:customStyle="1">
    <w:name w:val="Стиль1"/>
    <w:basedOn w:val="1059"/>
    <w:pPr>
      <w:numPr>
        <w:ilvl w:val="0"/>
        <w:numId w:val="0"/>
      </w:numPr>
      <w:spacing w:line="240" w:lineRule="auto"/>
    </w:pPr>
    <w:rPr>
      <w:szCs w:val="28"/>
    </w:rPr>
  </w:style>
  <w:style w:type="character" w:styleId="1073" w:customStyle="1">
    <w:name w:val="заменить"/>
    <w:rPr>
      <w:i/>
      <w:u w:val="none"/>
      <w:shd w:val="clear" w:color="auto" w:fill="ffcc99"/>
    </w:rPr>
  </w:style>
  <w:style w:type="paragraph" w:styleId="1074" w:customStyle="1">
    <w:name w:val="Служебный"/>
    <w:basedOn w:val="872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075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1076">
    <w:name w:val="Document Map"/>
    <w:basedOn w:val="872"/>
    <w:link w:val="1213"/>
    <w:uiPriority w:val="99"/>
    <w:semiHidden/>
    <w:pPr>
      <w:shd w:val="clear" w:color="auto" w:fill="000080"/>
    </w:pPr>
    <w:rPr>
      <w:rFonts w:ascii="Tahoma" w:hAnsi="Tahoma"/>
      <w:lang w:val="en-US" w:eastAsia="en-US"/>
    </w:rPr>
  </w:style>
  <w:style w:type="paragraph" w:styleId="1077">
    <w:name w:val="Normal (Web)"/>
    <w:basedOn w:val="872"/>
    <w:uiPriority w:val="99"/>
    <w:pPr>
      <w:spacing w:before="100" w:beforeAutospacing="1" w:after="100" w:afterAutospacing="1"/>
    </w:pPr>
  </w:style>
  <w:style w:type="character" w:styleId="1078">
    <w:name w:val="Emphasis"/>
    <w:uiPriority w:val="99"/>
    <w:qFormat/>
    <w:rPr>
      <w:i/>
      <w:iCs/>
    </w:rPr>
  </w:style>
  <w:style w:type="paragraph" w:styleId="1079">
    <w:name w:val="Balloon Text"/>
    <w:basedOn w:val="872"/>
    <w:link w:val="1207"/>
    <w:uiPriority w:val="99"/>
    <w:semiHidden/>
    <w:rPr>
      <w:rFonts w:ascii="Tahoma" w:hAnsi="Tahoma"/>
      <w:sz w:val="16"/>
      <w:szCs w:val="16"/>
      <w:lang w:val="en-US" w:eastAsia="en-US"/>
    </w:rPr>
  </w:style>
  <w:style w:type="paragraph" w:styleId="1080" w:customStyle="1">
    <w:name w:val="1 Знак"/>
    <w:basedOn w:val="8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1" w:customStyle="1">
    <w:name w:val="Знак"/>
    <w:basedOn w:val="872"/>
    <w:link w:val="105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2" w:customStyle="1">
    <w:name w:val="1"/>
    <w:basedOn w:val="87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3" w:customStyle="1">
    <w:name w:val="Заголовок_1"/>
    <w:basedOn w:val="872"/>
    <w:uiPriority w:val="99"/>
    <w:pPr>
      <w:numPr>
        <w:ilvl w:val="0"/>
        <w:numId w:val="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84" w:customStyle="1">
    <w:name w:val="Пункт_3"/>
    <w:basedOn w:val="872"/>
    <w:uiPriority w:val="99"/>
    <w:pPr>
      <w:numPr>
        <w:ilvl w:val="2"/>
        <w:numId w:val="2"/>
      </w:numPr>
      <w:jc w:val="both"/>
    </w:pPr>
    <w:rPr>
      <w:sz w:val="28"/>
      <w:szCs w:val="28"/>
    </w:rPr>
  </w:style>
  <w:style w:type="paragraph" w:styleId="1085" w:customStyle="1">
    <w:name w:val="Пункт_2"/>
    <w:basedOn w:val="872"/>
    <w:uiPriority w:val="99"/>
    <w:pPr>
      <w:numPr>
        <w:ilvl w:val="1"/>
        <w:numId w:val="2"/>
      </w:numPr>
      <w:jc w:val="both"/>
    </w:pPr>
    <w:rPr>
      <w:sz w:val="28"/>
      <w:szCs w:val="20"/>
    </w:rPr>
  </w:style>
  <w:style w:type="paragraph" w:styleId="1086" w:customStyle="1">
    <w:name w:val="Пункт_5"/>
    <w:basedOn w:val="1084"/>
    <w:uiPriority w:val="99"/>
    <w:pPr>
      <w:numPr>
        <w:ilvl w:val="4"/>
      </w:numPr>
    </w:pPr>
  </w:style>
  <w:style w:type="paragraph" w:styleId="1087" w:customStyle="1">
    <w:name w:val="Default"/>
    <w:rPr>
      <w:color w:val="000000"/>
      <w:sz w:val="24"/>
      <w:szCs w:val="24"/>
      <w:lang w:eastAsia="ru-RU"/>
    </w:rPr>
  </w:style>
  <w:style w:type="character" w:styleId="1088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"/>
    <w:link w:val="1089"/>
    <w:uiPriority w:val="34"/>
    <w:qFormat/>
    <w:rPr>
      <w:sz w:val="24"/>
      <w:szCs w:val="24"/>
    </w:rPr>
  </w:style>
  <w:style w:type="paragraph" w:styleId="1089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basedOn w:val="872"/>
    <w:link w:val="1088"/>
    <w:uiPriority w:val="34"/>
    <w:qFormat/>
    <w:pPr>
      <w:ind w:left="720"/>
    </w:pPr>
    <w:rPr>
      <w:lang w:val="en-US" w:eastAsia="en-US"/>
    </w:rPr>
  </w:style>
  <w:style w:type="character" w:styleId="1090" w:customStyle="1">
    <w:name w:val="Заголовок Знак"/>
    <w:link w:val="896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91" w:customStyle="1">
    <w:name w:val="Заголовок 4 Знак"/>
    <w:link w:val="876"/>
    <w:uiPriority w:val="99"/>
    <w:rPr>
      <w:rFonts w:ascii="Calibri" w:hAnsi="Calibri" w:eastAsia="Times New Roman" w:cs="Times New Roman"/>
      <w:b/>
      <w:bCs/>
      <w:sz w:val="28"/>
      <w:szCs w:val="28"/>
    </w:rPr>
  </w:style>
  <w:style w:type="character" w:styleId="1092" w:customStyle="1">
    <w:name w:val="Текст сноски Знак"/>
    <w:link w:val="1037"/>
    <w:uiPriority w:val="99"/>
    <w:rPr>
      <w:sz w:val="22"/>
    </w:rPr>
  </w:style>
  <w:style w:type="character" w:styleId="1093">
    <w:name w:val="annotation reference"/>
    <w:uiPriority w:val="99"/>
    <w:rPr>
      <w:sz w:val="16"/>
      <w:szCs w:val="16"/>
    </w:rPr>
  </w:style>
  <w:style w:type="paragraph" w:styleId="1094">
    <w:name w:val="annotation text"/>
    <w:basedOn w:val="872"/>
    <w:link w:val="1095"/>
    <w:uiPriority w:val="99"/>
    <w:rPr>
      <w:sz w:val="20"/>
      <w:szCs w:val="20"/>
    </w:rPr>
  </w:style>
  <w:style w:type="character" w:styleId="1095" w:customStyle="1">
    <w:name w:val="Текст примечания Знак"/>
    <w:basedOn w:val="1056"/>
    <w:link w:val="1094"/>
    <w:uiPriority w:val="99"/>
  </w:style>
  <w:style w:type="paragraph" w:styleId="1096">
    <w:name w:val="annotation subject"/>
    <w:basedOn w:val="1094"/>
    <w:next w:val="1094"/>
    <w:link w:val="1097"/>
    <w:uiPriority w:val="99"/>
    <w:rPr>
      <w:b/>
      <w:bCs/>
      <w:lang w:val="en-US" w:eastAsia="en-US"/>
    </w:rPr>
  </w:style>
  <w:style w:type="character" w:styleId="1097" w:customStyle="1">
    <w:name w:val="Тема примечания Знак"/>
    <w:link w:val="1096"/>
    <w:uiPriority w:val="99"/>
    <w:rPr>
      <w:b/>
      <w:bCs/>
    </w:rPr>
  </w:style>
  <w:style w:type="character" w:styleId="1098" w:customStyle="1">
    <w:name w:val="2 Знак1;Заголовок 2 Знак1 Знак;2 Знак Знак;h2 Знак;Б2 Знак;RTC Знак;iz2 Знак;Заголовок 21 Знак;Numbered text 3 Знак;HD2 Знак;heading 2 Знак;Heading 2 Hidden Знак;Раздел Знак Знак;Заголовок 2 Знак Знак Знак;H21 Знак;Major Знак"/>
    <w:link w:val="1055"/>
    <w:uiPriority w:val="99"/>
    <w:rPr>
      <w:b/>
      <w:sz w:val="32"/>
    </w:rPr>
  </w:style>
  <w:style w:type="paragraph" w:styleId="1099" w:customStyle="1">
    <w:name w:val="буквы"/>
    <w:basedOn w:val="872"/>
    <w:uiPriority w:val="99"/>
    <w:pPr>
      <w:numPr>
        <w:ilvl w:val="0"/>
        <w:numId w:val="12"/>
      </w:numPr>
      <w:ind w:left="1080"/>
      <w:jc w:val="both"/>
      <w:spacing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00" w:customStyle="1">
    <w:name w:val="Заголовок 5 Знак"/>
    <w:link w:val="877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101" w:customStyle="1">
    <w:name w:val="Заголовок 6 Знак"/>
    <w:link w:val="878"/>
    <w:uiPriority w:val="99"/>
    <w:rPr>
      <w:i/>
      <w:iCs/>
    </w:rPr>
  </w:style>
  <w:style w:type="character" w:styleId="1102" w:customStyle="1">
    <w:name w:val="Заголовок 7 Знак"/>
    <w:link w:val="879"/>
    <w:uiPriority w:val="99"/>
    <w:rPr>
      <w:rFonts w:ascii="Arial" w:hAnsi="Arial" w:cs="Arial"/>
    </w:rPr>
  </w:style>
  <w:style w:type="character" w:styleId="1103" w:customStyle="1">
    <w:name w:val="Заголовок 8 Знак"/>
    <w:link w:val="880"/>
    <w:uiPriority w:val="99"/>
    <w:rPr>
      <w:rFonts w:ascii="Arial" w:hAnsi="Arial" w:cs="Arial"/>
      <w:i/>
      <w:iCs/>
    </w:rPr>
  </w:style>
  <w:style w:type="character" w:styleId="1104" w:customStyle="1">
    <w:name w:val="Заголовок 9 Знак"/>
    <w:link w:val="881"/>
    <w:uiPriority w:val="99"/>
    <w:rPr>
      <w:rFonts w:ascii="Arial" w:hAnsi="Arial" w:cs="Arial"/>
      <w:b/>
      <w:bCs/>
      <w:i/>
      <w:iCs/>
      <w:sz w:val="18"/>
      <w:szCs w:val="18"/>
    </w:rPr>
  </w:style>
  <w:style w:type="character" w:styleId="1105" w:customStyle="1">
    <w:name w:val="Заголовок 1 Знак1;Document Header1 Знак1;H1 Знак;Заголовок 1 Знак2 Знак Знак;Заголовок 1 Знак1 Знак Знак Знак;Заголовок 1 Знак Знак Знак Знак Знак;Заголовок 1 Знак Знак1 Знак Знак Знак;Заголовок 1 Знак Знак2 Знак Знак;Заголовок 1 Знак1 Знак1 Знак"/>
    <w:link w:val="1054"/>
    <w:rPr>
      <w:rFonts w:ascii="Arial" w:hAnsi="Arial"/>
      <w:b/>
      <w:sz w:val="40"/>
      <w:lang w:val="en-US" w:eastAsia="en-US"/>
    </w:rPr>
  </w:style>
  <w:style w:type="character" w:styleId="1106" w:customStyle="1">
    <w:name w:val="Заголовок 3 Знак"/>
    <w:link w:val="875"/>
    <w:uiPriority w:val="99"/>
    <w:rPr>
      <w:rFonts w:ascii="Arial" w:hAnsi="Arial" w:cs="Arial"/>
      <w:b/>
      <w:bCs/>
      <w:sz w:val="26"/>
      <w:szCs w:val="26"/>
    </w:rPr>
  </w:style>
  <w:style w:type="paragraph" w:styleId="1107" w:customStyle="1">
    <w:name w:val="Основной текст с отступом1"/>
    <w:basedOn w:val="872"/>
    <w:uiPriority w:val="99"/>
    <w:pPr>
      <w:ind w:firstLine="851"/>
      <w:jc w:val="both"/>
      <w:spacing w:before="60"/>
    </w:pPr>
  </w:style>
  <w:style w:type="paragraph" w:styleId="1108">
    <w:name w:val="Body Text Indent"/>
    <w:basedOn w:val="872"/>
    <w:link w:val="1109"/>
    <w:uiPriority w:val="99"/>
    <w:pPr>
      <w:numPr>
        <w:ilvl w:val="1"/>
        <w:numId w:val="16"/>
      </w:numPr>
      <w:jc w:val="both"/>
      <w:spacing w:after="60"/>
    </w:pPr>
    <w:rPr>
      <w:lang w:val="en-US" w:eastAsia="en-US"/>
    </w:rPr>
  </w:style>
  <w:style w:type="character" w:styleId="1109" w:customStyle="1">
    <w:name w:val="Основной текст с отступом Знак"/>
    <w:link w:val="1108"/>
    <w:uiPriority w:val="99"/>
    <w:rPr>
      <w:sz w:val="24"/>
      <w:szCs w:val="24"/>
      <w:lang w:val="en-US" w:eastAsia="en-US"/>
    </w:rPr>
  </w:style>
  <w:style w:type="paragraph" w:styleId="1110">
    <w:name w:val="List Bullet"/>
    <w:basedOn w:val="872"/>
    <w:uiPriority w:val="99"/>
    <w:pPr>
      <w:jc w:val="both"/>
      <w:spacing w:after="60"/>
      <w:widowControl w:val="off"/>
    </w:pPr>
  </w:style>
  <w:style w:type="paragraph" w:styleId="1111">
    <w:name w:val="List Bullet 2"/>
    <w:basedOn w:val="872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12">
    <w:name w:val="List Bullet 3"/>
    <w:basedOn w:val="872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13">
    <w:name w:val="List Bullet 4"/>
    <w:basedOn w:val="872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14">
    <w:name w:val="List Bullet 5"/>
    <w:basedOn w:val="872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15">
    <w:name w:val="List Number 2"/>
    <w:basedOn w:val="872"/>
    <w:uiPriority w:val="99"/>
    <w:pPr>
      <w:ind w:left="643" w:hanging="360"/>
      <w:jc w:val="both"/>
      <w:spacing w:after="60"/>
      <w:tabs>
        <w:tab w:val="num" w:pos="643" w:leader="none"/>
      </w:tabs>
    </w:pPr>
  </w:style>
  <w:style w:type="paragraph" w:styleId="1116">
    <w:name w:val="List Number 3"/>
    <w:basedOn w:val="872"/>
    <w:uiPriority w:val="99"/>
    <w:pPr>
      <w:ind w:left="926" w:hanging="360"/>
      <w:jc w:val="both"/>
      <w:spacing w:after="60"/>
      <w:tabs>
        <w:tab w:val="num" w:pos="643" w:leader="none"/>
        <w:tab w:val="num" w:pos="926" w:leader="none"/>
      </w:tabs>
    </w:pPr>
  </w:style>
  <w:style w:type="paragraph" w:styleId="1117">
    <w:name w:val="List Number 4"/>
    <w:basedOn w:val="872"/>
    <w:uiPriority w:val="99"/>
    <w:pPr>
      <w:ind w:left="1209" w:hanging="360"/>
      <w:jc w:val="both"/>
      <w:spacing w:after="60"/>
      <w:tabs>
        <w:tab w:val="num" w:pos="926" w:leader="none"/>
        <w:tab w:val="num" w:pos="1209" w:leader="none"/>
      </w:tabs>
    </w:pPr>
  </w:style>
  <w:style w:type="paragraph" w:styleId="1118">
    <w:name w:val="List Number 5"/>
    <w:basedOn w:val="872"/>
    <w:uiPriority w:val="99"/>
    <w:pPr>
      <w:ind w:left="1492" w:hanging="360"/>
      <w:jc w:val="both"/>
      <w:spacing w:after="60"/>
      <w:tabs>
        <w:tab w:val="num" w:pos="1209" w:leader="none"/>
        <w:tab w:val="num" w:pos="1492" w:leader="none"/>
      </w:tabs>
    </w:pPr>
  </w:style>
  <w:style w:type="paragraph" w:styleId="1119" w:customStyle="1">
    <w:name w:val="Раздел"/>
    <w:basedOn w:val="872"/>
    <w:uiPriority w:val="99"/>
    <w:semiHidden/>
    <w:pPr>
      <w:numPr>
        <w:ilvl w:val="1"/>
        <w:numId w:val="14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20" w:customStyle="1">
    <w:name w:val="Часть"/>
    <w:basedOn w:val="872"/>
    <w:uiPriority w:val="99"/>
    <w:semiHidden/>
    <w:pPr>
      <w:jc w:val="center"/>
      <w:spacing w:after="60"/>
    </w:pPr>
    <w:rPr>
      <w:rFonts w:ascii="Arial" w:hAnsi="Arial" w:cs="Arial"/>
      <w:b/>
      <w:bCs/>
      <w:caps/>
      <w:sz w:val="32"/>
      <w:szCs w:val="32"/>
    </w:rPr>
  </w:style>
  <w:style w:type="paragraph" w:styleId="1121" w:customStyle="1">
    <w:name w:val="Раздел 3"/>
    <w:basedOn w:val="872"/>
    <w:uiPriority w:val="99"/>
    <w:semiHidden/>
    <w:pPr>
      <w:numPr>
        <w:ilvl w:val="0"/>
        <w:numId w:val="15"/>
      </w:numPr>
      <w:jc w:val="center"/>
      <w:spacing w:before="120" w:after="120"/>
    </w:pPr>
    <w:rPr>
      <w:b/>
      <w:bCs/>
    </w:rPr>
  </w:style>
  <w:style w:type="paragraph" w:styleId="1122" w:customStyle="1">
    <w:name w:val="Условия контракта"/>
    <w:basedOn w:val="872"/>
    <w:uiPriority w:val="99"/>
    <w:semiHidden/>
    <w:pPr>
      <w:numPr>
        <w:ilvl w:val="0"/>
        <w:numId w:val="16"/>
      </w:numPr>
      <w:jc w:val="both"/>
      <w:spacing w:before="240" w:after="120"/>
    </w:pPr>
    <w:rPr>
      <w:b/>
      <w:bCs/>
    </w:rPr>
  </w:style>
  <w:style w:type="paragraph" w:styleId="1123" w:customStyle="1">
    <w:name w:val="Instruction"/>
    <w:basedOn w:val="1108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character" w:styleId="1124" w:customStyle="1">
    <w:name w:val="Название Знак"/>
    <w:uiPriority w:val="99"/>
    <w:rPr>
      <w:rFonts w:ascii="Cambria" w:hAnsi="Cambria" w:cs="Cambria"/>
      <w:b/>
      <w:bCs/>
      <w:sz w:val="32"/>
      <w:szCs w:val="32"/>
    </w:rPr>
  </w:style>
  <w:style w:type="character" w:styleId="1125" w:customStyle="1">
    <w:name w:val="Подзаголовок Знак"/>
    <w:link w:val="898"/>
    <w:uiPriority w:val="99"/>
    <w:rPr>
      <w:rFonts w:ascii="Cambria" w:hAnsi="Cambria" w:cs="Cambria"/>
      <w:sz w:val="24"/>
      <w:szCs w:val="24"/>
    </w:rPr>
  </w:style>
  <w:style w:type="paragraph" w:styleId="1126" w:customStyle="1">
    <w:name w:val="Тендерные данные"/>
    <w:basedOn w:val="872"/>
    <w:uiPriority w:val="99"/>
    <w:semiHidden/>
    <w:pPr>
      <w:jc w:val="both"/>
      <w:spacing w:before="120" w:after="60"/>
      <w:tabs>
        <w:tab w:val="left" w:pos="1985" w:leader="none"/>
      </w:tabs>
    </w:pPr>
    <w:rPr>
      <w:b/>
      <w:bCs/>
    </w:rPr>
  </w:style>
  <w:style w:type="paragraph" w:styleId="1127">
    <w:name w:val="Date"/>
    <w:basedOn w:val="872"/>
    <w:next w:val="872"/>
    <w:link w:val="1128"/>
    <w:uiPriority w:val="99"/>
    <w:pPr>
      <w:jc w:val="both"/>
      <w:spacing w:after="60"/>
    </w:pPr>
    <w:rPr>
      <w:lang w:val="en-US" w:eastAsia="en-US"/>
    </w:rPr>
  </w:style>
  <w:style w:type="character" w:styleId="1128" w:customStyle="1">
    <w:name w:val="Дата Знак"/>
    <w:link w:val="1127"/>
    <w:uiPriority w:val="99"/>
    <w:rPr>
      <w:sz w:val="24"/>
      <w:szCs w:val="24"/>
    </w:rPr>
  </w:style>
  <w:style w:type="paragraph" w:styleId="1129" w:customStyle="1">
    <w:name w:val="Îáû÷íûé"/>
    <w:uiPriority w:val="99"/>
    <w:semiHidden/>
    <w:rPr>
      <w:lang w:eastAsia="ru-RU"/>
    </w:rPr>
  </w:style>
  <w:style w:type="paragraph" w:styleId="1130" w:customStyle="1">
    <w:name w:val="Íîðìàëüíûé"/>
    <w:uiPriority w:val="99"/>
    <w:semiHidden/>
    <w:rPr>
      <w:rFonts w:ascii="Courier" w:hAnsi="Courier" w:cs="Courier"/>
      <w:sz w:val="24"/>
      <w:szCs w:val="24"/>
      <w:lang w:val="en-GB" w:eastAsia="ru-RU"/>
    </w:rPr>
  </w:style>
  <w:style w:type="paragraph" w:styleId="1131">
    <w:name w:val="Body Text"/>
    <w:basedOn w:val="872"/>
    <w:link w:val="1061"/>
    <w:uiPriority w:val="99"/>
    <w:pPr>
      <w:jc w:val="both"/>
      <w:spacing w:after="120"/>
    </w:pPr>
    <w:rPr>
      <w:sz w:val="28"/>
      <w:szCs w:val="28"/>
    </w:rPr>
  </w:style>
  <w:style w:type="character" w:styleId="1132" w:customStyle="1">
    <w:name w:val="Основной текст Знак1"/>
    <w:rPr>
      <w:sz w:val="24"/>
      <w:szCs w:val="24"/>
    </w:rPr>
  </w:style>
  <w:style w:type="paragraph" w:styleId="1133" w:customStyle="1">
    <w:name w:val="Подраздел"/>
    <w:basedOn w:val="872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34">
    <w:name w:val="Body Text Indent 2"/>
    <w:basedOn w:val="872"/>
    <w:link w:val="1135"/>
    <w:uiPriority w:val="99"/>
    <w:pPr>
      <w:ind w:left="283"/>
      <w:jc w:val="both"/>
      <w:spacing w:after="120" w:line="480" w:lineRule="auto"/>
    </w:pPr>
    <w:rPr>
      <w:lang w:val="en-US" w:eastAsia="en-US"/>
    </w:rPr>
  </w:style>
  <w:style w:type="character" w:styleId="1135" w:customStyle="1">
    <w:name w:val="Основной текст с отступом 2 Знак"/>
    <w:link w:val="1134"/>
    <w:uiPriority w:val="99"/>
    <w:rPr>
      <w:sz w:val="24"/>
      <w:szCs w:val="24"/>
    </w:rPr>
  </w:style>
  <w:style w:type="paragraph" w:styleId="1136">
    <w:name w:val="Body Text Indent 3"/>
    <w:basedOn w:val="872"/>
    <w:link w:val="1137"/>
    <w:uiPriority w:val="99"/>
    <w:pPr>
      <w:ind w:left="283"/>
      <w:jc w:val="both"/>
      <w:spacing w:after="120"/>
    </w:pPr>
    <w:rPr>
      <w:sz w:val="16"/>
      <w:szCs w:val="16"/>
      <w:lang w:val="en-US" w:eastAsia="en-US"/>
    </w:rPr>
  </w:style>
  <w:style w:type="character" w:styleId="1137" w:customStyle="1">
    <w:name w:val="Основной текст с отступом 3 Знак"/>
    <w:link w:val="1136"/>
    <w:uiPriority w:val="99"/>
    <w:rPr>
      <w:sz w:val="16"/>
      <w:szCs w:val="16"/>
    </w:rPr>
  </w:style>
  <w:style w:type="character" w:styleId="1138" w:customStyle="1">
    <w:name w:val="Верхний колонтитул Знак"/>
    <w:link w:val="904"/>
    <w:uiPriority w:val="99"/>
    <w:rPr>
      <w:sz w:val="24"/>
      <w:szCs w:val="24"/>
    </w:rPr>
  </w:style>
  <w:style w:type="paragraph" w:styleId="1139">
    <w:name w:val="Block Text"/>
    <w:basedOn w:val="872"/>
    <w:uiPriority w:val="99"/>
    <w:pPr>
      <w:ind w:left="1440" w:right="1440"/>
      <w:jc w:val="both"/>
      <w:spacing w:after="120"/>
    </w:pPr>
  </w:style>
  <w:style w:type="character" w:styleId="1140" w:customStyle="1">
    <w:name w:val="Нижний колонтитул Знак"/>
    <w:link w:val="906"/>
    <w:uiPriority w:val="99"/>
    <w:rPr>
      <w:sz w:val="24"/>
      <w:szCs w:val="24"/>
    </w:rPr>
  </w:style>
  <w:style w:type="paragraph" w:styleId="1141">
    <w:name w:val="Body Text 3"/>
    <w:basedOn w:val="872"/>
    <w:link w:val="1142"/>
    <w:uiPriority w:val="99"/>
    <w:pPr>
      <w:jc w:val="both"/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  <w:lang w:val="en-US" w:eastAsia="en-US"/>
    </w:rPr>
  </w:style>
  <w:style w:type="character" w:styleId="1142" w:customStyle="1">
    <w:name w:val="Основной текст 3 Знак"/>
    <w:link w:val="1141"/>
    <w:uiPriority w:val="99"/>
    <w:rPr>
      <w:sz w:val="16"/>
      <w:szCs w:val="16"/>
    </w:rPr>
  </w:style>
  <w:style w:type="paragraph" w:styleId="1143">
    <w:name w:val="Plain Text"/>
    <w:basedOn w:val="872"/>
    <w:link w:val="1144"/>
    <w:rPr>
      <w:rFonts w:ascii="Courier New" w:hAnsi="Courier New"/>
      <w:sz w:val="20"/>
      <w:szCs w:val="20"/>
      <w:lang w:val="en-US" w:eastAsia="en-US"/>
    </w:rPr>
  </w:style>
  <w:style w:type="character" w:styleId="1144" w:customStyle="1">
    <w:name w:val="Текст Знак"/>
    <w:link w:val="1143"/>
    <w:rPr>
      <w:rFonts w:ascii="Courier New" w:hAnsi="Courier New" w:cs="Courier New"/>
    </w:rPr>
  </w:style>
  <w:style w:type="paragraph" w:styleId="1145" w:customStyle="1">
    <w:name w:val="ConsNormal"/>
    <w:pPr>
      <w:ind w:right="19772" w:firstLine="720"/>
      <w:widowControl w:val="off"/>
    </w:pPr>
    <w:rPr>
      <w:rFonts w:ascii="Arial" w:hAnsi="Arial" w:cs="Arial"/>
      <w:lang w:eastAsia="ru-RU"/>
    </w:rPr>
  </w:style>
  <w:style w:type="character" w:styleId="1146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47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  <w:lang w:eastAsia="ru-RU"/>
    </w:rPr>
  </w:style>
  <w:style w:type="character" w:styleId="1148" w:customStyle="1">
    <w:name w:val="Основной шрифт"/>
    <w:uiPriority w:val="99"/>
    <w:semiHidden/>
  </w:style>
  <w:style w:type="paragraph" w:styleId="1149">
    <w:name w:val="HTML Address"/>
    <w:basedOn w:val="872"/>
    <w:link w:val="1150"/>
    <w:uiPriority w:val="99"/>
    <w:pPr>
      <w:jc w:val="both"/>
      <w:spacing w:after="60"/>
    </w:pPr>
    <w:rPr>
      <w:i/>
      <w:iCs/>
      <w:lang w:val="en-US" w:eastAsia="en-US"/>
    </w:rPr>
  </w:style>
  <w:style w:type="character" w:styleId="1150" w:customStyle="1">
    <w:name w:val="Адрес HTML Знак"/>
    <w:link w:val="1149"/>
    <w:uiPriority w:val="99"/>
    <w:rPr>
      <w:i/>
      <w:iCs/>
      <w:sz w:val="24"/>
      <w:szCs w:val="24"/>
    </w:rPr>
  </w:style>
  <w:style w:type="paragraph" w:styleId="1151">
    <w:name w:val="envelope address"/>
    <w:basedOn w:val="872"/>
    <w:uiPriority w:val="99"/>
    <w:pPr>
      <w:ind w:left="2880"/>
      <w:jc w:val="both"/>
      <w:spacing w:after="6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52">
    <w:name w:val="HTML Acronym"/>
    <w:uiPriority w:val="99"/>
  </w:style>
  <w:style w:type="paragraph" w:styleId="1153">
    <w:name w:val="Note Heading"/>
    <w:basedOn w:val="872"/>
    <w:next w:val="872"/>
    <w:link w:val="1154"/>
    <w:uiPriority w:val="99"/>
    <w:pPr>
      <w:jc w:val="both"/>
      <w:spacing w:after="60"/>
    </w:pPr>
    <w:rPr>
      <w:lang w:val="en-US" w:eastAsia="en-US"/>
    </w:rPr>
  </w:style>
  <w:style w:type="character" w:styleId="1154" w:customStyle="1">
    <w:name w:val="Заголовок записки Знак"/>
    <w:link w:val="1153"/>
    <w:uiPriority w:val="99"/>
    <w:rPr>
      <w:sz w:val="24"/>
      <w:szCs w:val="24"/>
    </w:rPr>
  </w:style>
  <w:style w:type="character" w:styleId="115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56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57">
    <w:name w:val="Body Text First Indent"/>
    <w:basedOn w:val="1131"/>
    <w:link w:val="1158"/>
    <w:uiPriority w:val="99"/>
    <w:pPr>
      <w:ind w:firstLine="210"/>
    </w:pPr>
    <w:rPr>
      <w:lang w:val="en-US" w:eastAsia="en-US"/>
    </w:rPr>
  </w:style>
  <w:style w:type="character" w:styleId="1158" w:customStyle="1">
    <w:name w:val="Красная строка Знак"/>
    <w:link w:val="1157"/>
    <w:uiPriority w:val="99"/>
    <w:rPr>
      <w:sz w:val="28"/>
      <w:szCs w:val="28"/>
    </w:rPr>
  </w:style>
  <w:style w:type="paragraph" w:styleId="1159">
    <w:name w:val="Body Text First Indent 2"/>
    <w:basedOn w:val="1107"/>
    <w:link w:val="1160"/>
    <w:uiPriority w:val="99"/>
    <w:pPr>
      <w:ind w:left="283" w:firstLine="210"/>
      <w:spacing w:before="0" w:after="120"/>
    </w:pPr>
  </w:style>
  <w:style w:type="character" w:styleId="1160" w:customStyle="1">
    <w:name w:val="Красная строка 2 Знак"/>
    <w:basedOn w:val="1109"/>
    <w:link w:val="1159"/>
    <w:uiPriority w:val="99"/>
    <w:rPr>
      <w:sz w:val="24"/>
      <w:szCs w:val="24"/>
      <w:lang w:val="en-US" w:eastAsia="en-US"/>
    </w:rPr>
  </w:style>
  <w:style w:type="character" w:styleId="1161">
    <w:name w:val="line number"/>
    <w:uiPriority w:val="99"/>
  </w:style>
  <w:style w:type="character" w:styleId="1162">
    <w:name w:val="HTML Sample"/>
    <w:uiPriority w:val="99"/>
    <w:rPr>
      <w:rFonts w:ascii="Courier New" w:hAnsi="Courier New" w:cs="Courier New"/>
    </w:rPr>
  </w:style>
  <w:style w:type="paragraph" w:styleId="1163">
    <w:name w:val="envelope return"/>
    <w:basedOn w:val="872"/>
    <w:uiPriority w:val="99"/>
    <w:pPr>
      <w:jc w:val="both"/>
      <w:spacing w:after="60"/>
    </w:pPr>
    <w:rPr>
      <w:rFonts w:ascii="Arial" w:hAnsi="Arial" w:cs="Arial"/>
      <w:sz w:val="20"/>
      <w:szCs w:val="20"/>
    </w:rPr>
  </w:style>
  <w:style w:type="paragraph" w:styleId="1164">
    <w:name w:val="Normal Indent"/>
    <w:basedOn w:val="872"/>
    <w:uiPriority w:val="99"/>
    <w:pPr>
      <w:ind w:left="708"/>
      <w:jc w:val="both"/>
      <w:spacing w:after="60"/>
    </w:pPr>
  </w:style>
  <w:style w:type="character" w:styleId="1165">
    <w:name w:val="HTML Definition"/>
    <w:uiPriority w:val="99"/>
    <w:rPr>
      <w:i/>
      <w:iCs/>
    </w:rPr>
  </w:style>
  <w:style w:type="character" w:styleId="1166">
    <w:name w:val="HTML Variable"/>
    <w:uiPriority w:val="99"/>
    <w:rPr>
      <w:i/>
      <w:iCs/>
    </w:rPr>
  </w:style>
  <w:style w:type="character" w:styleId="116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68">
    <w:name w:val="Signature"/>
    <w:basedOn w:val="872"/>
    <w:link w:val="1169"/>
    <w:uiPriority w:val="99"/>
    <w:pPr>
      <w:ind w:left="4252"/>
      <w:jc w:val="both"/>
      <w:spacing w:after="60"/>
    </w:pPr>
    <w:rPr>
      <w:lang w:val="en-US" w:eastAsia="en-US"/>
    </w:rPr>
  </w:style>
  <w:style w:type="character" w:styleId="1169" w:customStyle="1">
    <w:name w:val="Подпись Знак"/>
    <w:link w:val="1168"/>
    <w:uiPriority w:val="99"/>
    <w:rPr>
      <w:sz w:val="24"/>
      <w:szCs w:val="24"/>
    </w:rPr>
  </w:style>
  <w:style w:type="paragraph" w:styleId="1170">
    <w:name w:val="Salutation"/>
    <w:basedOn w:val="872"/>
    <w:next w:val="872"/>
    <w:link w:val="1171"/>
    <w:uiPriority w:val="99"/>
    <w:pPr>
      <w:jc w:val="both"/>
      <w:spacing w:after="60"/>
    </w:pPr>
    <w:rPr>
      <w:lang w:val="en-US" w:eastAsia="en-US"/>
    </w:rPr>
  </w:style>
  <w:style w:type="character" w:styleId="1171" w:customStyle="1">
    <w:name w:val="Приветствие Знак"/>
    <w:link w:val="1170"/>
    <w:uiPriority w:val="99"/>
    <w:rPr>
      <w:sz w:val="24"/>
      <w:szCs w:val="24"/>
    </w:rPr>
  </w:style>
  <w:style w:type="paragraph" w:styleId="1172">
    <w:name w:val="List Continue"/>
    <w:basedOn w:val="872"/>
    <w:uiPriority w:val="99"/>
    <w:pPr>
      <w:ind w:left="283"/>
      <w:jc w:val="both"/>
      <w:spacing w:after="120"/>
    </w:pPr>
  </w:style>
  <w:style w:type="paragraph" w:styleId="1173">
    <w:name w:val="List Continue 2"/>
    <w:basedOn w:val="872"/>
    <w:uiPriority w:val="99"/>
    <w:pPr>
      <w:ind w:left="566"/>
      <w:jc w:val="both"/>
      <w:spacing w:after="120"/>
    </w:pPr>
  </w:style>
  <w:style w:type="paragraph" w:styleId="1174">
    <w:name w:val="List Continue 3"/>
    <w:basedOn w:val="872"/>
    <w:uiPriority w:val="99"/>
    <w:pPr>
      <w:ind w:left="849"/>
      <w:jc w:val="both"/>
      <w:spacing w:after="120"/>
    </w:pPr>
  </w:style>
  <w:style w:type="paragraph" w:styleId="1175">
    <w:name w:val="List Continue 4"/>
    <w:basedOn w:val="872"/>
    <w:uiPriority w:val="99"/>
    <w:pPr>
      <w:ind w:left="1132"/>
      <w:jc w:val="both"/>
      <w:spacing w:after="120"/>
    </w:pPr>
  </w:style>
  <w:style w:type="paragraph" w:styleId="1176">
    <w:name w:val="List Continue 5"/>
    <w:basedOn w:val="872"/>
    <w:uiPriority w:val="99"/>
    <w:pPr>
      <w:ind w:left="1415"/>
      <w:jc w:val="both"/>
      <w:spacing w:after="120"/>
    </w:pPr>
  </w:style>
  <w:style w:type="paragraph" w:styleId="1177">
    <w:name w:val="Closing"/>
    <w:basedOn w:val="872"/>
    <w:link w:val="1178"/>
    <w:uiPriority w:val="99"/>
    <w:pPr>
      <w:ind w:left="4252"/>
      <w:jc w:val="both"/>
      <w:spacing w:after="60"/>
    </w:pPr>
    <w:rPr>
      <w:lang w:val="en-US" w:eastAsia="en-US"/>
    </w:rPr>
  </w:style>
  <w:style w:type="character" w:styleId="1178" w:customStyle="1">
    <w:name w:val="Прощание Знак"/>
    <w:link w:val="1177"/>
    <w:uiPriority w:val="99"/>
    <w:rPr>
      <w:sz w:val="24"/>
      <w:szCs w:val="24"/>
    </w:rPr>
  </w:style>
  <w:style w:type="paragraph" w:styleId="1179">
    <w:name w:val="List"/>
    <w:basedOn w:val="872"/>
    <w:uiPriority w:val="99"/>
    <w:pPr>
      <w:ind w:left="283" w:hanging="283"/>
      <w:jc w:val="both"/>
      <w:spacing w:after="60"/>
    </w:pPr>
  </w:style>
  <w:style w:type="paragraph" w:styleId="1180">
    <w:name w:val="List 2"/>
    <w:basedOn w:val="872"/>
    <w:uiPriority w:val="99"/>
    <w:pPr>
      <w:ind w:left="566" w:hanging="283"/>
      <w:jc w:val="both"/>
      <w:spacing w:after="60"/>
    </w:pPr>
  </w:style>
  <w:style w:type="paragraph" w:styleId="1181">
    <w:name w:val="List 3"/>
    <w:basedOn w:val="872"/>
    <w:uiPriority w:val="99"/>
    <w:pPr>
      <w:ind w:left="849" w:hanging="283"/>
      <w:jc w:val="both"/>
      <w:spacing w:after="60"/>
    </w:pPr>
  </w:style>
  <w:style w:type="paragraph" w:styleId="1182">
    <w:name w:val="List 4"/>
    <w:basedOn w:val="872"/>
    <w:uiPriority w:val="99"/>
    <w:pPr>
      <w:ind w:left="1132" w:hanging="283"/>
      <w:jc w:val="both"/>
      <w:spacing w:after="60"/>
    </w:pPr>
  </w:style>
  <w:style w:type="paragraph" w:styleId="1183">
    <w:name w:val="List 5"/>
    <w:basedOn w:val="872"/>
    <w:uiPriority w:val="99"/>
    <w:pPr>
      <w:ind w:left="1415" w:hanging="283"/>
      <w:jc w:val="both"/>
      <w:spacing w:after="60"/>
    </w:pPr>
  </w:style>
  <w:style w:type="paragraph" w:styleId="1184">
    <w:name w:val="HTML Preformatted"/>
    <w:basedOn w:val="872"/>
    <w:link w:val="1185"/>
    <w:uiPriority w:val="99"/>
    <w:pPr>
      <w:jc w:val="both"/>
      <w:spacing w:after="60"/>
    </w:pPr>
    <w:rPr>
      <w:rFonts w:ascii="Courier New" w:hAnsi="Courier New"/>
      <w:sz w:val="20"/>
      <w:szCs w:val="20"/>
      <w:lang w:val="en-US" w:eastAsia="en-US"/>
    </w:rPr>
  </w:style>
  <w:style w:type="character" w:styleId="1185" w:customStyle="1">
    <w:name w:val="Стандартный HTML Знак"/>
    <w:link w:val="1184"/>
    <w:uiPriority w:val="99"/>
    <w:rPr>
      <w:rFonts w:ascii="Courier New" w:hAnsi="Courier New" w:cs="Courier New"/>
    </w:rPr>
  </w:style>
  <w:style w:type="character" w:styleId="1186">
    <w:name w:val="Strong"/>
    <w:uiPriority w:val="99"/>
    <w:qFormat/>
    <w:rPr>
      <w:b/>
      <w:bCs/>
    </w:rPr>
  </w:style>
  <w:style w:type="character" w:styleId="1187">
    <w:name w:val="HTML Cite"/>
    <w:uiPriority w:val="99"/>
    <w:rPr>
      <w:i/>
      <w:iCs/>
    </w:rPr>
  </w:style>
  <w:style w:type="paragraph" w:styleId="1188">
    <w:name w:val="Message Header"/>
    <w:basedOn w:val="872"/>
    <w:link w:val="1189"/>
    <w:uiPriority w:val="99"/>
    <w:pPr>
      <w:ind w:left="1134" w:hanging="1134"/>
      <w:jc w:val="both"/>
      <w:spacing w:after="6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/>
      <w:lang w:val="en-US" w:eastAsia="en-US"/>
    </w:rPr>
  </w:style>
  <w:style w:type="character" w:styleId="1189" w:customStyle="1">
    <w:name w:val="Шапка Знак"/>
    <w:link w:val="1188"/>
    <w:uiPriority w:val="99"/>
    <w:rPr>
      <w:rFonts w:ascii="Cambria" w:hAnsi="Cambria" w:cs="Cambria"/>
      <w:sz w:val="24"/>
      <w:szCs w:val="24"/>
      <w:shd w:val="pct20" w:color="auto" w:fill="auto"/>
    </w:rPr>
  </w:style>
  <w:style w:type="paragraph" w:styleId="1190">
    <w:name w:val="E-mail Signature"/>
    <w:basedOn w:val="872"/>
    <w:link w:val="1191"/>
    <w:uiPriority w:val="99"/>
    <w:pPr>
      <w:jc w:val="both"/>
      <w:spacing w:after="60"/>
    </w:pPr>
    <w:rPr>
      <w:lang w:val="en-US" w:eastAsia="en-US"/>
    </w:rPr>
  </w:style>
  <w:style w:type="character" w:styleId="1191" w:customStyle="1">
    <w:name w:val="Электронная подпись Знак"/>
    <w:link w:val="1190"/>
    <w:uiPriority w:val="99"/>
    <w:rPr>
      <w:sz w:val="24"/>
      <w:szCs w:val="24"/>
    </w:rPr>
  </w:style>
  <w:style w:type="paragraph" w:styleId="1192" w:customStyle="1">
    <w:name w:val="содержание2-1"/>
    <w:basedOn w:val="875"/>
    <w:next w:val="872"/>
    <w:uiPriority w:val="99"/>
    <w:pPr>
      <w:ind w:left="142"/>
      <w:jc w:val="both"/>
      <w:tabs>
        <w:tab w:val="num" w:pos="312" w:leader="none"/>
      </w:tabs>
    </w:pPr>
    <w:rPr>
      <w:sz w:val="24"/>
      <w:szCs w:val="24"/>
    </w:rPr>
  </w:style>
  <w:style w:type="paragraph" w:styleId="1193" w:customStyle="1">
    <w:name w:val="Заголовок 2.1"/>
    <w:basedOn w:val="1054"/>
    <w:uiPriority w:val="99"/>
    <w:pPr>
      <w:numPr>
        <w:ilvl w:val="0"/>
        <w:numId w:val="0"/>
      </w:numPr>
      <w:ind w:left="432" w:hanging="432"/>
      <w:jc w:val="center"/>
      <w:pageBreakBefore w:val="0"/>
      <w:spacing w:before="240" w:after="60"/>
      <w:widowControl w:val="off"/>
      <w:tabs>
        <w:tab w:val="num" w:pos="432" w:leader="none"/>
      </w:tabs>
      <w:suppressLineNumbers/>
    </w:pPr>
    <w:rPr>
      <w:rFonts w:ascii="Times New Roman" w:hAnsi="Times New Roman"/>
      <w:bCs/>
      <w:caps/>
      <w:sz w:val="36"/>
      <w:szCs w:val="36"/>
    </w:rPr>
  </w:style>
  <w:style w:type="paragraph" w:styleId="1194" w:customStyle="1">
    <w:name w:val="Стиль2"/>
    <w:basedOn w:val="1115"/>
    <w:uiPriority w:val="99"/>
    <w:pPr>
      <w:ind w:left="1836" w:hanging="576"/>
      <w:keepLines/>
      <w:keepNext/>
      <w:widowControl w:val="off"/>
      <w:tabs>
        <w:tab w:val="clear" w:pos="643" w:leader="none"/>
        <w:tab w:val="num" w:pos="1492" w:leader="none"/>
        <w:tab w:val="num" w:pos="1836" w:leader="none"/>
      </w:tabs>
      <w:suppressLineNumbers/>
    </w:pPr>
    <w:rPr>
      <w:b/>
      <w:bCs/>
    </w:rPr>
  </w:style>
  <w:style w:type="paragraph" w:styleId="1195" w:customStyle="1">
    <w:name w:val="Стиль3"/>
    <w:basedOn w:val="1134"/>
    <w:uiPriority w:val="99"/>
    <w:pPr>
      <w:ind w:left="1080"/>
      <w:spacing w:after="0" w:line="240" w:lineRule="auto"/>
      <w:widowControl w:val="off"/>
      <w:tabs>
        <w:tab w:val="num" w:pos="1307" w:leader="none"/>
      </w:tabs>
    </w:pPr>
  </w:style>
  <w:style w:type="paragraph" w:styleId="1196" w:customStyle="1">
    <w:name w:val="содержание2-11"/>
    <w:basedOn w:val="872"/>
    <w:uiPriority w:val="99"/>
    <w:pPr>
      <w:jc w:val="both"/>
      <w:spacing w:after="60"/>
    </w:pPr>
  </w:style>
  <w:style w:type="character" w:styleId="1197" w:customStyle="1">
    <w:name w:val="Знак Знак1"/>
    <w:uiPriority w:val="99"/>
    <w:rPr>
      <w:sz w:val="24"/>
      <w:szCs w:val="24"/>
      <w:lang w:val="ru-RU" w:eastAsia="ru-RU"/>
    </w:rPr>
  </w:style>
  <w:style w:type="character" w:styleId="1198" w:customStyle="1">
    <w:name w:val="Стиль3 Знак"/>
    <w:uiPriority w:val="99"/>
    <w:rPr>
      <w:sz w:val="24"/>
      <w:szCs w:val="24"/>
      <w:lang w:val="ru-RU" w:eastAsia="ru-RU"/>
    </w:rPr>
  </w:style>
  <w:style w:type="paragraph" w:styleId="1199" w:customStyle="1">
    <w:name w:val="Стиль4"/>
    <w:basedOn w:val="1055"/>
    <w:next w:val="872"/>
    <w:uiPriority w:val="99"/>
    <w:pPr>
      <w:ind w:left="576" w:firstLine="567"/>
      <w:jc w:val="center"/>
      <w:keepLines/>
      <w:spacing w:before="0" w:after="60"/>
      <w:widowControl w:val="off"/>
      <w:tabs>
        <w:tab w:val="num" w:pos="576" w:leader="none"/>
      </w:tabs>
      <w:suppressLineNumbers/>
    </w:pPr>
    <w:rPr>
      <w:bCs/>
      <w:sz w:val="30"/>
      <w:szCs w:val="30"/>
    </w:rPr>
  </w:style>
  <w:style w:type="paragraph" w:styleId="1200" w:customStyle="1">
    <w:name w:val="Таблица заголовок"/>
    <w:basedOn w:val="872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01" w:customStyle="1">
    <w:name w:val="текст таблицы"/>
    <w:basedOn w:val="872"/>
    <w:uiPriority w:val="99"/>
    <w:pPr>
      <w:ind w:right="-102"/>
      <w:spacing w:before="120"/>
    </w:pPr>
  </w:style>
  <w:style w:type="paragraph" w:styleId="1202" w:customStyle="1">
    <w:name w:val="Пункт Знак"/>
    <w:basedOn w:val="872"/>
    <w:uiPriority w:val="99"/>
    <w:pPr>
      <w:ind w:left="1134" w:hanging="567"/>
      <w:jc w:val="both"/>
      <w:spacing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03" w:customStyle="1">
    <w:name w:val="a"/>
    <w:basedOn w:val="872"/>
    <w:uiPriority w:val="99"/>
    <w:pPr>
      <w:ind w:left="1134" w:hanging="567"/>
      <w:jc w:val="both"/>
      <w:spacing w:line="360" w:lineRule="auto"/>
    </w:pPr>
    <w:rPr>
      <w:sz w:val="28"/>
      <w:szCs w:val="28"/>
    </w:rPr>
  </w:style>
  <w:style w:type="paragraph" w:styleId="1204" w:customStyle="1">
    <w:name w:val="Словарная статья"/>
    <w:basedOn w:val="872"/>
    <w:next w:val="872"/>
    <w:uiPriority w:val="99"/>
    <w:pPr>
      <w:ind w:right="118"/>
      <w:jc w:val="both"/>
    </w:pPr>
    <w:rPr>
      <w:rFonts w:ascii="Arial" w:hAnsi="Arial" w:cs="Arial"/>
      <w:sz w:val="20"/>
      <w:szCs w:val="20"/>
    </w:rPr>
  </w:style>
  <w:style w:type="paragraph" w:styleId="1205" w:customStyle="1">
    <w:name w:val="Комментарий пользователя"/>
    <w:basedOn w:val="872"/>
    <w:next w:val="872"/>
    <w:uiPriority w:val="99"/>
    <w:pPr>
      <w:ind w:left="170"/>
    </w:pPr>
    <w:rPr>
      <w:rFonts w:ascii="Arial" w:hAnsi="Arial" w:cs="Arial"/>
      <w:i/>
      <w:iCs/>
      <w:color w:val="000080"/>
      <w:sz w:val="20"/>
      <w:szCs w:val="20"/>
    </w:rPr>
  </w:style>
  <w:style w:type="character" w:styleId="1206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207" w:customStyle="1">
    <w:name w:val="Текст выноски Знак"/>
    <w:link w:val="1079"/>
    <w:uiPriority w:val="99"/>
    <w:semiHidden/>
    <w:rPr>
      <w:rFonts w:ascii="Tahoma" w:hAnsi="Tahoma" w:cs="Tahoma"/>
      <w:sz w:val="16"/>
      <w:szCs w:val="16"/>
    </w:rPr>
  </w:style>
  <w:style w:type="character" w:styleId="1208" w:customStyle="1">
    <w:name w:val="label_body_text_1"/>
    <w:uiPriority w:val="99"/>
  </w:style>
  <w:style w:type="paragraph" w:styleId="1209" w:customStyle="1">
    <w:name w:val="Заголовок 1.Document Header1"/>
    <w:basedOn w:val="872"/>
    <w:next w:val="872"/>
    <w:uiPriority w:val="99"/>
    <w:pPr>
      <w:jc w:val="center"/>
      <w:keepNext/>
      <w:spacing w:before="240" w:after="60"/>
      <w:outlineLvl w:val="0"/>
    </w:pPr>
    <w:rPr>
      <w:sz w:val="36"/>
      <w:szCs w:val="36"/>
    </w:rPr>
  </w:style>
  <w:style w:type="character" w:styleId="1210" w:customStyle="1">
    <w:name w:val="Знак Знак11"/>
    <w:uiPriority w:val="99"/>
    <w:rPr>
      <w:sz w:val="24"/>
      <w:szCs w:val="24"/>
      <w:lang w:val="ru-RU" w:eastAsia="ru-RU"/>
    </w:rPr>
  </w:style>
  <w:style w:type="paragraph" w:styleId="1211" w:customStyle="1">
    <w:name w:val="20"/>
    <w:basedOn w:val="872"/>
    <w:uiPriority w:val="99"/>
    <w:pPr>
      <w:ind w:left="104" w:right="104"/>
      <w:spacing w:before="104" w:after="104"/>
    </w:pPr>
  </w:style>
  <w:style w:type="character" w:styleId="1212" w:customStyle="1">
    <w:name w:val="Заголовок 1 Знак;Document Header1 Знак"/>
    <w:rPr>
      <w:b/>
      <w:bCs/>
      <w:sz w:val="36"/>
      <w:szCs w:val="36"/>
      <w:lang w:val="ru-RU" w:eastAsia="ru-RU"/>
    </w:rPr>
  </w:style>
  <w:style w:type="character" w:styleId="1213" w:customStyle="1">
    <w:name w:val="Схема документа Знак"/>
    <w:link w:val="1076"/>
    <w:uiPriority w:val="99"/>
    <w:semiHidden/>
    <w:rPr>
      <w:rFonts w:ascii="Tahoma" w:hAnsi="Tahoma" w:cs="Tahoma"/>
      <w:sz w:val="24"/>
      <w:szCs w:val="24"/>
      <w:shd w:val="clear" w:color="auto" w:fill="000080"/>
    </w:rPr>
  </w:style>
  <w:style w:type="paragraph" w:styleId="1214" w:customStyle="1">
    <w:name w:val="Таблица шапка"/>
    <w:basedOn w:val="872"/>
    <w:pPr>
      <w:ind w:left="57" w:right="57"/>
      <w:keepNext/>
      <w:spacing w:before="40" w:after="40"/>
    </w:pPr>
    <w:rPr>
      <w:sz w:val="18"/>
      <w:szCs w:val="18"/>
    </w:rPr>
  </w:style>
  <w:style w:type="paragraph" w:styleId="1215" w:customStyle="1">
    <w:name w:val="Таблица текст"/>
    <w:basedOn w:val="872"/>
    <w:pPr>
      <w:ind w:left="57" w:right="57"/>
      <w:spacing w:before="40" w:after="40"/>
    </w:pPr>
    <w:rPr>
      <w:sz w:val="22"/>
      <w:szCs w:val="22"/>
    </w:rPr>
  </w:style>
  <w:style w:type="paragraph" w:styleId="1216" w:customStyle="1">
    <w:name w:val="пункт"/>
    <w:basedOn w:val="872"/>
    <w:uiPriority w:val="99"/>
    <w:pPr>
      <w:numPr>
        <w:ilvl w:val="2"/>
        <w:numId w:val="17"/>
      </w:numPr>
      <w:spacing w:before="60" w:after="60"/>
    </w:pPr>
  </w:style>
  <w:style w:type="character" w:styleId="1217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18">
    <w:name w:val="index 1"/>
    <w:basedOn w:val="872"/>
    <w:next w:val="872"/>
    <w:uiPriority w:val="99"/>
    <w:pPr>
      <w:ind w:left="240" w:hanging="240"/>
      <w:jc w:val="both"/>
      <w:spacing w:after="60"/>
    </w:pPr>
  </w:style>
  <w:style w:type="paragraph" w:styleId="1219" w:customStyle="1">
    <w:name w:val="Обычный1"/>
    <w:uiPriority w:val="99"/>
    <w:rPr>
      <w:sz w:val="24"/>
      <w:szCs w:val="24"/>
      <w:lang w:eastAsia="ru-RU"/>
    </w:rPr>
  </w:style>
  <w:style w:type="paragraph" w:styleId="1220" w:customStyle="1">
    <w:name w:val="ConsPlusNonformat"/>
    <w:uiPriority w:val="99"/>
    <w:pPr>
      <w:widowControl w:val="off"/>
    </w:pPr>
    <w:rPr>
      <w:rFonts w:ascii="Courier New" w:hAnsi="Courier New" w:cs="Courier New"/>
      <w:lang w:eastAsia="ru-RU"/>
    </w:rPr>
  </w:style>
  <w:style w:type="character" w:styleId="1221" w:customStyle="1">
    <w:name w:val="Текст концевой сноски Знак"/>
    <w:basedOn w:val="1056"/>
    <w:link w:val="1040"/>
    <w:uiPriority w:val="99"/>
  </w:style>
  <w:style w:type="paragraph" w:styleId="1222" w:customStyle="1">
    <w:name w:val="Основной текст с отступом11"/>
    <w:basedOn w:val="872"/>
    <w:uiPriority w:val="99"/>
    <w:pPr>
      <w:ind w:firstLine="851"/>
      <w:jc w:val="both"/>
      <w:spacing w:before="60"/>
    </w:pPr>
  </w:style>
  <w:style w:type="character" w:styleId="1223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character" w:styleId="1224">
    <w:name w:val="Placeholder Text"/>
    <w:uiPriority w:val="99"/>
    <w:semiHidden/>
    <w:rPr>
      <w:color w:val="808080"/>
    </w:rPr>
  </w:style>
  <w:style w:type="character" w:styleId="1225" w:customStyle="1">
    <w:name w:val="f"/>
  </w:style>
  <w:style w:type="character" w:styleId="1226" w:customStyle="1">
    <w:name w:val="r"/>
  </w:style>
  <w:style w:type="paragraph" w:styleId="1227">
    <w:name w:val="Body Text 2"/>
    <w:basedOn w:val="872"/>
    <w:link w:val="1228"/>
    <w:pPr>
      <w:jc w:val="both"/>
      <w:spacing w:after="120" w:line="480" w:lineRule="auto"/>
    </w:pPr>
    <w:rPr>
      <w:lang w:val="en-US" w:eastAsia="en-US"/>
    </w:rPr>
  </w:style>
  <w:style w:type="character" w:styleId="1228" w:customStyle="1">
    <w:name w:val="Основной текст 2 Знак"/>
    <w:link w:val="1227"/>
    <w:rPr>
      <w:sz w:val="24"/>
      <w:szCs w:val="24"/>
    </w:rPr>
  </w:style>
  <w:style w:type="paragraph" w:styleId="1229" w:customStyle="1">
    <w:name w:val="Iniiaiie oaeno"/>
    <w:basedOn w:val="872"/>
    <w:uiPriority w:val="99"/>
    <w:pPr>
      <w:jc w:val="center"/>
    </w:pPr>
    <w:rPr>
      <w:rFonts w:ascii="Arial" w:hAnsi="Arial" w:cs="Arial"/>
    </w:rPr>
  </w:style>
  <w:style w:type="paragraph" w:styleId="1230" w:customStyle="1">
    <w:name w:val="Абзац списка1"/>
    <w:basedOn w:val="872"/>
    <w:pPr>
      <w:contextualSpacing/>
      <w:ind w:left="720"/>
    </w:pPr>
    <w:rPr>
      <w:rFonts w:ascii="Cambria" w:hAnsi="Cambria" w:eastAsia="MS Mincho"/>
    </w:rPr>
  </w:style>
  <w:style w:type="paragraph" w:styleId="1231" w:customStyle="1">
    <w:name w:val="Таблицы (моноширинный)"/>
    <w:basedOn w:val="872"/>
    <w:next w:val="872"/>
    <w:uiPriority w:val="99"/>
    <w:rPr>
      <w:rFonts w:ascii="Courier New" w:hAnsi="Courier New" w:eastAsia="Calibri" w:cs="Courier New"/>
      <w:lang w:eastAsia="en-US"/>
    </w:rPr>
  </w:style>
  <w:style w:type="character" w:styleId="1232" w:customStyle="1">
    <w:name w:val="Пункт Знак1"/>
    <w:link w:val="1058"/>
    <w:rPr>
      <w:sz w:val="28"/>
      <w:lang w:val="en-US" w:eastAsia="en-US"/>
    </w:rPr>
  </w:style>
  <w:style w:type="paragraph" w:styleId="1233" w:customStyle="1">
    <w:name w:val="Пункт-3"/>
    <w:basedOn w:val="872"/>
    <w:link w:val="1234"/>
    <w:pPr>
      <w:jc w:val="both"/>
      <w:tabs>
        <w:tab w:val="num" w:pos="1418" w:leader="none"/>
      </w:tabs>
    </w:pPr>
    <w:rPr>
      <w:sz w:val="28"/>
      <w:szCs w:val="20"/>
      <w:lang w:val="en-US" w:eastAsia="en-US"/>
    </w:rPr>
  </w:style>
  <w:style w:type="character" w:styleId="1234" w:customStyle="1">
    <w:name w:val="Пункт-3 Знак"/>
    <w:link w:val="1233"/>
    <w:rPr>
      <w:sz w:val="28"/>
    </w:rPr>
  </w:style>
  <w:style w:type="character" w:styleId="1235" w:customStyle="1">
    <w:name w:val="Основной текст (3)_"/>
    <w:link w:val="1236"/>
    <w:rPr>
      <w:b/>
      <w:bCs/>
      <w:shd w:val="clear" w:color="auto" w:fill="ffffff"/>
    </w:rPr>
  </w:style>
  <w:style w:type="paragraph" w:styleId="1236" w:customStyle="1">
    <w:name w:val="Основной текст (3)"/>
    <w:basedOn w:val="872"/>
    <w:link w:val="1235"/>
    <w:pPr>
      <w:ind w:firstLine="709"/>
      <w:jc w:val="center"/>
      <w:spacing w:line="274" w:lineRule="exact"/>
      <w:shd w:val="clear" w:color="auto" w:fill="ffffff"/>
      <w:widowControl w:val="off"/>
    </w:pPr>
    <w:rPr>
      <w:b/>
      <w:bCs/>
      <w:sz w:val="20"/>
      <w:szCs w:val="20"/>
      <w:lang w:val="en-US" w:eastAsia="en-US"/>
    </w:rPr>
  </w:style>
  <w:style w:type="paragraph" w:styleId="1237" w:customStyle="1">
    <w:name w:val="Пункт-4"/>
    <w:basedOn w:val="872"/>
    <w:pPr>
      <w:ind w:left="643" w:hanging="360"/>
      <w:jc w:val="both"/>
      <w:tabs>
        <w:tab w:val="num" w:pos="643" w:leader="none"/>
      </w:tabs>
    </w:pPr>
    <w:rPr>
      <w:sz w:val="28"/>
      <w:szCs w:val="20"/>
    </w:rPr>
  </w:style>
  <w:style w:type="character" w:styleId="1238" w:customStyle="1">
    <w:name w:val="комментарий"/>
    <w:uiPriority w:val="99"/>
    <w:rPr>
      <w:i/>
      <w:u w:val="none"/>
      <w:shd w:val="clear" w:color="auto" w:fill="ffff99"/>
    </w:rPr>
  </w:style>
  <w:style w:type="paragraph" w:styleId="1239">
    <w:name w:val="Revision"/>
    <w:hidden/>
    <w:uiPriority w:val="99"/>
    <w:semiHidden/>
    <w:rPr>
      <w:sz w:val="24"/>
      <w:szCs w:val="24"/>
      <w:lang w:eastAsia="ru-RU"/>
    </w:rPr>
  </w:style>
  <w:style w:type="paragraph" w:styleId="1240" w:customStyle="1">
    <w:name w:val="Ариал"/>
    <w:basedOn w:val="872"/>
    <w:link w:val="1241"/>
    <w:pPr>
      <w:ind w:firstLine="851"/>
      <w:jc w:val="both"/>
      <w:spacing w:before="120" w:after="120" w:line="360" w:lineRule="auto"/>
    </w:pPr>
    <w:rPr>
      <w:rFonts w:ascii="Arial" w:hAnsi="Arial"/>
      <w:szCs w:val="20"/>
      <w:lang w:val="en-US" w:eastAsia="en-US"/>
    </w:rPr>
  </w:style>
  <w:style w:type="character" w:styleId="1241" w:customStyle="1">
    <w:name w:val="Ариал Знак1"/>
    <w:link w:val="1240"/>
    <w:rPr>
      <w:rFonts w:ascii="Arial" w:hAnsi="Arial"/>
      <w:sz w:val="24"/>
      <w:lang w:val="en-US" w:eastAsia="en-US"/>
    </w:rPr>
  </w:style>
  <w:style w:type="paragraph" w:styleId="1242" w:customStyle="1">
    <w:name w:val="Цитата1"/>
    <w:basedOn w:val="872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43" w:customStyle="1">
    <w:name w:val="Times 12"/>
    <w:basedOn w:val="872"/>
    <w:pPr>
      <w:ind w:firstLine="567"/>
      <w:jc w:val="both"/>
    </w:pPr>
    <w:rPr>
      <w:bCs/>
      <w:szCs w:val="22"/>
    </w:rPr>
  </w:style>
  <w:style w:type="paragraph" w:styleId="1244" w:customStyle="1">
    <w:name w:val="МРСК_нумерованный_список"/>
    <w:basedOn w:val="1069"/>
    <w:qFormat/>
    <w:pPr>
      <w:numPr>
        <w:ilvl w:val="0"/>
        <w:numId w:val="18"/>
      </w:numPr>
      <w:ind w:left="786" w:hanging="360"/>
      <w:keepNext/>
      <w:spacing w:before="0" w:line="300" w:lineRule="auto"/>
      <w:tabs>
        <w:tab w:val="num" w:pos="360" w:leader="none"/>
      </w:tabs>
    </w:pPr>
    <w:rPr>
      <w:sz w:val="24"/>
      <w:lang w:val="en-US" w:eastAsia="en-US"/>
    </w:rPr>
  </w:style>
  <w:style w:type="character" w:styleId="1245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246" w:customStyle="1">
    <w:name w:val="Пункт б/н"/>
    <w:basedOn w:val="872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247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  <w:lang w:eastAsia="ru-RU"/>
    </w:rPr>
  </w:style>
  <w:style w:type="character" w:styleId="1248" w:customStyle="1">
    <w:name w:val="Нет"/>
  </w:style>
  <w:style w:type="character" w:styleId="1249" w:customStyle="1">
    <w:name w:val="Hyperlink.0"/>
    <w:basedOn w:val="1248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https://rmsp.nalog.ru/" TargetMode="External"/><Relationship Id="rId15" Type="http://schemas.openxmlformats.org/officeDocument/2006/relationships/hyperlink" Target="https://npd.nalog.ru/check-status/" TargetMode="External"/><Relationship Id="rId16" Type="http://schemas.openxmlformats.org/officeDocument/2006/relationships/hyperlink" Target="http://www.zakupki.gov.ru" TargetMode="External"/><Relationship Id="rId17" Type="http://schemas.openxmlformats.org/officeDocument/2006/relationships/hyperlink" Target="http://www.cbr.ru/credit/" TargetMode="External"/><Relationship Id="rId18" Type="http://schemas.openxmlformats.org/officeDocument/2006/relationships/hyperlink" Target="https://www.mrsk-sib.ru/index.php?option=com_content&amp;view=category&amp;layout=blog&amp;id=2863&amp;Itemid=4101&amp;lang=ru4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6</cp:revision>
  <dcterms:created xsi:type="dcterms:W3CDTF">2025-12-05T07:56:00Z</dcterms:created>
  <dcterms:modified xsi:type="dcterms:W3CDTF">2025-12-06T06:52:34Z</dcterms:modified>
  <cp:version>1048576</cp:version>
</cp:coreProperties>
</file>